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B7F3C"/>
          <w:sz w:val="34"/>
          <w:szCs w:val="34"/>
        </w:rPr>
        <w:t xml:space="preserve">Qualidade — Reclamações — Estrutura e Fluxos</w:t>
      </w:r>
    </w:p>
    <w:p>
      <w:pPr>
        <w:jc w:val="center"/>
      </w:pPr>
      <w:r>
        <w:rPr>
          <w:i/>
          <w:iCs/>
          <w:color w:val="6C757D"/>
          <w:sz w:val="18"/>
          <w:szCs w:val="18"/>
        </w:rPr>
        <w:t>Módulo Odoo · Mirazeite · Actualizado 31/10/2026</w:t>
      </w:r>
    </w:p>
    <w:p>
      <w:pPr>
        <w:pBdr>
          <w:bottom w:val="single" w:color="E8B520" w:sz="18" w:space="0"/>
        </w:pBdr>
        <w:spacing w:after="80"/>
      </w:pPr>
    </w:p>
    <w:p>
      <w:pPr>
        <w:spacing w:after="40" w:before="160"/>
      </w:pPr>
      <w:r>
        <w:rPr>
          <w:b/>
          <w:bCs/>
          <w:color w:val="1B7F3C"/>
        </w:rPr>
        <w:t xml:space="preserve">O que é</w:t>
      </w:r>
    </w:p>
    <w:p>
      <w:pPr>
        <w:spacing w:after="40"/>
      </w:pPr>
      <w:r>
        <w:rPr>
          <w:color w:val="333333"/>
          <w:sz w:val="18"/>
          <w:szCs w:val="18"/>
        </w:rPr>
        <w:t xml:space="preserve">É o lado da Qualidade do processo de reclamações. Pega nas reclamações submetidas nos Formulários e regista a investigação: causa, acções correctivas, gravidade, responsável, verificação de eficácia e fecho.</w:t>
      </w:r>
    </w:p>
    <w:p>
      <w:pPr>
        <w:spacing w:after="40"/>
      </w:pPr>
      <w:r>
        <w:rPr>
          <w:color w:val="333333"/>
          <w:sz w:val="18"/>
          <w:szCs w:val="18"/>
        </w:rPr>
        <w:t xml:space="preserve">Funciona sempre em cima do módulo Formulários. Um não vive sem o outro: os Formulários recolhem, a Qualidade trata.</w:t>
      </w:r>
    </w:p>
    <w:p>
      <w:pPr>
        <w:spacing w:after="40" w:before="160"/>
      </w:pPr>
      <w:r>
        <w:rPr>
          <w:b/>
          <w:bCs/>
          <w:color w:val="1B7F3C"/>
        </w:rPr>
        <w:t xml:space="preserve">A resposta da Qualidade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066"/>
      </w:tblGrid>
      <w:tr>
        <w:trPr>
          <w:tblHeader/>
        </w:trPr>
        <w:tc>
          <w:tcPr>
            <w:tcW w:type="dxa" w:w="3400"/>
            <w:shd w:fill="1B7F3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066"/>
            <w:shd w:fill="1B7F3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F5D28"/>
                <w:sz w:val="17"/>
                <w:szCs w:val="17"/>
              </w:rPr>
              <w:t xml:space="preserve">Estado</w:t>
            </w:r>
          </w:p>
        </w:tc>
        <w:tc>
          <w:tcPr>
            <w:tcW w:type="dxa" w:w="70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Aberto, Pendente ou Fechado. É o que determina se a reclamação ainda está viva.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F5D28"/>
                <w:sz w:val="17"/>
                <w:szCs w:val="17"/>
              </w:rPr>
              <w:t xml:space="preserve">Causa</w:t>
            </w:r>
          </w:p>
        </w:tc>
        <w:tc>
          <w:tcPr>
            <w:tcW w:type="dxa" w:w="70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A origem apurada do problema.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F5D28"/>
                <w:sz w:val="17"/>
                <w:szCs w:val="17"/>
              </w:rPr>
              <w:t xml:space="preserve">Acções correctivas</w:t>
            </w:r>
          </w:p>
        </w:tc>
        <w:tc>
          <w:tcPr>
            <w:tcW w:type="dxa" w:w="70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O que vai ser feito para não voltar a acontecer.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F5D28"/>
                <w:sz w:val="17"/>
                <w:szCs w:val="17"/>
              </w:rPr>
              <w:t xml:space="preserve">Categoria</w:t>
            </w:r>
          </w:p>
        </w:tc>
        <w:tc>
          <w:tcPr>
            <w:tcW w:type="dxa" w:w="70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Qualidade, Segurança ou Serviço (Transporte).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F5D28"/>
                <w:sz w:val="17"/>
                <w:szCs w:val="17"/>
              </w:rPr>
              <w:t xml:space="preserve">Origem</w:t>
            </w:r>
          </w:p>
        </w:tc>
        <w:tc>
          <w:tcPr>
            <w:tcW w:type="dxa" w:w="70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A1 - Arruda ou A2 - Tomar.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F5D28"/>
                <w:sz w:val="17"/>
                <w:szCs w:val="17"/>
              </w:rPr>
              <w:t xml:space="preserve">Gravidade</w:t>
            </w:r>
          </w:p>
        </w:tc>
        <w:tc>
          <w:tcPr>
            <w:tcW w:type="dxa" w:w="70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Baixa, Média, Alta ou Crítica.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F5D28"/>
                <w:sz w:val="17"/>
                <w:szCs w:val="17"/>
              </w:rPr>
              <w:t xml:space="preserve">Responsável e Aprovado por</w:t>
            </w:r>
          </w:p>
        </w:tc>
        <w:tc>
          <w:tcPr>
            <w:tcW w:type="dxa" w:w="70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Quem trata e quem valida o fecho.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F5D28"/>
                <w:sz w:val="17"/>
                <w:szCs w:val="17"/>
              </w:rPr>
              <w:t xml:space="preserve">Datas de conclusão e de fecho</w:t>
            </w:r>
          </w:p>
        </w:tc>
        <w:tc>
          <w:tcPr>
            <w:tcW w:type="dxa" w:w="70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Alimentam os indicadores de tempo de resposta.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F5D28"/>
                <w:sz w:val="17"/>
                <w:szCs w:val="17"/>
              </w:rPr>
              <w:t xml:space="preserve">Verificação de eficácia</w:t>
            </w:r>
          </w:p>
        </w:tc>
        <w:tc>
          <w:tcPr>
            <w:tcW w:type="dxa" w:w="70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Confirmação, mais tarde, de que a acção resultou.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F5D28"/>
                <w:sz w:val="17"/>
                <w:szCs w:val="17"/>
              </w:rPr>
              <w:t xml:space="preserve">Evidências / Anexos</w:t>
            </w:r>
          </w:p>
        </w:tc>
        <w:tc>
          <w:tcPr>
            <w:tcW w:type="dxa" w:w="70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Documentos da investigação, além dos que vieram no formulário.</w:t>
            </w:r>
          </w:p>
        </w:tc>
      </w:tr>
    </w:tbl>
    <w:p>
      <w:pPr>
        <w:spacing w:after="40"/>
      </w:pPr>
    </w:p>
    <w:p>
      <w:pPr>
        <w:spacing w:after="40" w:before="160"/>
      </w:pPr>
      <w:r>
        <w:rPr>
          <w:b/>
          <w:bCs/>
          <w:color w:val="1B7F3C"/>
        </w:rPr>
        <w:t xml:space="preserve">Como se usa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Abrir a reclamação em Qualidade → Reclamações Clientes, Reclamações Fornecedores ou Reclamações Internas.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Usar o botão de responder para criar a resposta associada.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Preencher causa, categoria, origem e gravidade, e atribuir o responsável.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Manter o estado actualizado; passar a Fechado só depois da verificação de eficácia.</w:t>
      </w:r>
    </w:p>
    <w:p>
      <w:pPr>
        <w:spacing w:after="40" w:before="160"/>
      </w:pPr>
      <w:r>
        <w:rPr>
          <w:b/>
          <w:bCs/>
          <w:color w:val="1B7F3C"/>
        </w:rPr>
        <w:t xml:space="preserve">Dashboard</w:t>
      </w:r>
    </w:p>
    <w:p>
      <w:pPr>
        <w:spacing w:after="40"/>
      </w:pPr>
      <w:r>
        <w:rPr>
          <w:color w:val="333333"/>
          <w:sz w:val="18"/>
          <w:szCs w:val="18"/>
        </w:rPr>
        <w:t xml:space="preserve">O menu Qualidade → Dashboard reúne as vistas de acompanhamento, cada uma com um recorte diferente dos mesmos dados.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Indicadores e Visão Geral — números do período.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Por Tipo, Clientes, Fornecedores, Internas — quem reclama e de quem se reclama. Por Tipo compara Cliente, Fornecedor e Interna lado a lado, com % fechadas e quantas estão fora do SLA (7, 15 e 30 dias).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Categoria, Origem, Gravidade e os cruzamentos Categoria x Gravidade e Origem x Gravidade.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Responsável e Fecho, Tempo de Fecho — desempenho no tratamento.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SLA em Atraso e Acções Pendentes — o que precisa de atenção agora.</w:t>
      </w:r>
    </w:p>
    <w:p>
      <w:pPr>
        <w:spacing w:after="40" w:before="160"/>
        <w:keepNext/>
      </w:pPr>
      <w:r>
        <w:rPr>
          <w:b/>
          <w:bCs/>
          <w:color w:val="1B7F3C"/>
        </w:rPr>
        <w:t xml:space="preserve">Reclamações internas (31/10/2026)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As reclamações marcadas como Interna nos Formulários (ex.: Arruda reclama a Tomar sobre garrafas PET) aparecem no menu Qualidade → Reclamações Internas, e deixam de aparecer em Reclamações Fornecedores.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O tratamento é igual ao das reclamações de fornecedores: botão Responder, estado, causa, acções correctivas, categoria, origem, gravidade, responsável, aprovação, datas e evidências.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A resposta mostra o Tipo e a Instalação Reclamada. O responsável e a origem não são preenchidos automaticamente: cabe à Qualidade validar.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Indicadores: os totais gerais (Total, % fechadas, SLA) incluem as internas; as Estatísticas Fornecedores não as incluem; Dashboard → Internas mostra só as internas.</w:t>
      </w:r>
    </w:p>
    <w:p>
      <w:pPr>
        <w:spacing w:after="40" w:before="160"/>
      </w:pPr>
      <w:r>
        <w:rPr>
          <w:b/>
          <w:bCs/>
          <w:color w:val="1B7F3C"/>
        </w:rPr>
        <w:t xml:space="preserve">Notas úteis</w:t>
      </w:r>
    </w:p>
    <w:p>
      <w:pPr>
        <w:spacing w:after="40"/>
      </w:pPr>
      <w:r>
        <w:rPr>
          <w:color w:val="333333"/>
          <w:sz w:val="18"/>
          <w:szCs w:val="18"/>
        </w:rPr>
        <w:t xml:space="preserve">Os campos de gravidade e categoria são o que dá valor ao dashboard. Se ficarem por preencher, os gráficos deixam de ser úteis mesmo que a reclamação tenha sido bem tratada.</w:t>
      </w:r>
    </w:p>
    <w:sectPr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2026-08-27T11:02:40.914Z</dcterms:created>
  <dcterms:modified xsi:type="dcterms:W3CDTF">2026-08-27T11:02:40.914Z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