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4"/>
        </w:rPr>
        <w:t>FACULDADE DE INFORMÁTICA E TECNOLOGIA — FIAP</w:t>
      </w:r>
    </w:p>
    <w:p>
      <w:pPr>
        <w:spacing w:after="1400"/>
        <w:ind w:firstLine="0"/>
        <w:jc w:val="center"/>
      </w:pPr>
      <w:r>
        <w:rPr>
          <w:rFonts w:ascii="Times New Roman" w:hAnsi="Times New Roman"/>
          <w:b/>
          <w:sz w:val="24"/>
        </w:rPr>
        <w:t>TECNÓLOGO EM INTELIGÊNCIA ARTIFICIAL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GOVERNANÇA EM IA E BUSINESS ANALYTICS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8"/>
        </w:rPr>
        <w:t>INTELIGÊNCIA OPERACIONAL E GOVERNANÇA DA DECISÃO</w:t>
      </w:r>
    </w:p>
    <w:p>
      <w:pPr>
        <w:spacing w:after="840"/>
        <w:ind w:firstLine="0"/>
        <w:jc w:val="center"/>
      </w:pPr>
      <w:r>
        <w:rPr>
          <w:rFonts w:ascii="Times New Roman" w:hAnsi="Times New Roman"/>
          <w:b w:val="0"/>
          <w:sz w:val="24"/>
        </w:rPr>
        <w:t>Solução Digital Twin Forzy — Challenge Sprint 3</w:t>
      </w:r>
    </w:p>
    <w:p>
      <w:pPr>
        <w:spacing w:line="240" w:lineRule="auto"/>
        <w:ind w:firstLine="0"/>
        <w:jc w:val="center"/>
      </w:pPr>
      <w:r>
        <w:t>RM566479 — Jonas Alaf da Silva</w:t>
      </w:r>
    </w:p>
    <w:p>
      <w:pPr>
        <w:spacing w:line="240" w:lineRule="auto"/>
        <w:ind w:firstLine="0"/>
        <w:jc w:val="center"/>
      </w:pPr>
      <w:r>
        <w:t>RM562358 — Murilo Benhossi</w:t>
      </w:r>
    </w:p>
    <w:p>
      <w:pPr>
        <w:spacing w:line="240" w:lineRule="auto"/>
        <w:ind w:firstLine="0"/>
        <w:jc w:val="center"/>
      </w:pPr>
      <w:r>
        <w:t>RM565460 — Pedro Leal Murad</w:t>
      </w:r>
    </w:p>
    <w:p>
      <w:pPr>
        <w:spacing w:line="240" w:lineRule="auto"/>
        <w:ind w:firstLine="0"/>
        <w:jc w:val="center"/>
      </w:pPr>
      <w:r>
        <w:t>RM561401 — Luís Fernando de Oliveira Salgado</w:t>
      </w:r>
    </w:p>
    <w:p>
      <w:pPr>
        <w:spacing w:line="240" w:lineRule="auto"/>
        <w:ind w:firstLine="0"/>
        <w:jc w:val="center"/>
      </w:pPr>
      <w:r>
        <w:t>RM565522 — Ricardo de Paiva Melo</w:t>
      </w:r>
    </w:p>
    <w:p>
      <w:pPr>
        <w:spacing w:line="240" w:lineRule="auto"/>
        <w:ind w:firstLine="0"/>
        <w:jc w:val="center"/>
      </w:pPr>
      <w:r>
        <w:t>RM553273 — Nicolas Lemos Ribeiro</w:t>
      </w:r>
    </w:p>
    <w:p>
      <w:pPr>
        <w:spacing w:before="360"/>
        <w:ind w:firstLine="0"/>
        <w:jc w:val="center"/>
      </w:pPr>
      <w:r>
        <w:t>Professor: Marco Fontoura</w:t>
      </w:r>
    </w:p>
    <w:p>
      <w:pPr>
        <w:spacing w:before="760"/>
        <w:ind w:firstLine="0"/>
        <w:jc w:val="center"/>
      </w:pPr>
      <w:r>
        <w:t>São Paulo</w:t>
        <w:br/>
        <w:t>2026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RESUMO</w:t>
      </w:r>
    </w:p>
    <w:p>
      <w:r>
        <w:t>Este documento vivo consolida a evolução da governança da plataforma Forzy. A primeira sprint estruturou acesso, explicabilidade, rastreabilidade e fairness. A segunda levou esses controles para a interface e para a navegação dos ativos. A terceira formaliza os limites da inteligência operacional por meio de Metric Contracts, thresholds físicos, regra de anomalia, Circuit Breaker e protocolo de handoff humano. A aplicação demonstrável mantém a decisão física sob responsabilidade de um especialista e registra por que cada alerta foi emitido, bloqueado ou encaminhado.</w:t>
      </w:r>
    </w:p>
    <w:p>
      <w:r>
        <w:rPr>
          <w:b/>
        </w:rPr>
        <w:t>Palavras-chave:</w:t>
      </w:r>
      <w:r>
        <w:t xml:space="preserve"> Governança de IA. Metric Contract. Threshold. Circuit Breaker. Handoff. Manutenção preditiva.</w:t>
      </w:r>
    </w:p>
    <w:p>
      <w:pPr>
        <w:pStyle w:val="Heading1"/>
      </w:pPr>
      <w:r>
        <w:t>LISTA DE FIGURAS</w:t>
      </w:r>
    </w:p>
    <w:p>
      <w:pPr>
        <w:pStyle w:val="ListBullet"/>
      </w:pPr>
      <w:r>
        <w:rPr>
          <w:sz w:val="20"/>
        </w:rPr>
        <w:t>Figura 1 — Mockup navegável da planta baixa na Sprint 2 ....................................... 10</w:t>
      </w:r>
    </w:p>
    <w:p>
      <w:pPr>
        <w:pStyle w:val="ListBullet"/>
      </w:pPr>
      <w:r>
        <w:rPr>
          <w:sz w:val="20"/>
        </w:rPr>
        <w:t>Figura 2 — Operação dos sensores dentro dos Metric Contracts .................................. 19</w:t>
      </w:r>
    </w:p>
    <w:p>
      <w:pPr>
        <w:pStyle w:val="ListBullet"/>
      </w:pPr>
      <w:r>
        <w:rPr>
          <w:sz w:val="20"/>
        </w:rPr>
        <w:t>Figura 3 — Sensor na faixa de atenção .......................................................... 20</w:t>
      </w:r>
    </w:p>
    <w:p>
      <w:pPr>
        <w:pStyle w:val="ListBullet"/>
      </w:pPr>
      <w:r>
        <w:rPr>
          <w:sz w:val="20"/>
        </w:rPr>
        <w:t>Figura 4 — Anomalia persistente confirmada para inspeção humana ................................. 21</w:t>
      </w:r>
    </w:p>
    <w:p>
      <w:pPr>
        <w:pStyle w:val="ListBullet"/>
      </w:pPr>
      <w:r>
        <w:rPr>
          <w:sz w:val="20"/>
        </w:rPr>
        <w:t>Figura 5 — Circuit Breaker acionado por dado inválido ........................................... 22</w:t>
      </w:r>
    </w:p>
    <w:p>
      <w:pPr>
        <w:pStyle w:val="ListBullet"/>
      </w:pPr>
      <w:r>
        <w:rPr>
          <w:sz w:val="20"/>
        </w:rPr>
        <w:t>Figura 6 — Handoff acionado por baixa confiança .................................................. 23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1 INTRODUÇÃO ............................................................ 4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2 CONTEXTUALIZAÇÃO DA SOLUÇÃO FORZY ..................................... 4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3 EVOLUÇÃO DA GOVERNANÇA — SPRINT 1 ..................................... 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3.1 Hierarquia e controle de acesso ..................................... 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3.2 Cadeia D-I-C-I ...................................................... 6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3.3 Explainability ...................................................... 7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3.4 Protocolo de rastreabilidade ........................................ 7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3.5 Dicionário de metadados ............................................. 8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3.6 Fairness e limitações ............................................... 8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4 EVOLUÇÃO DA GOVERNANÇA — SPRINT 2 ..................................... 9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4.1 Entrega histórica: mockup da planta baixa inteligente ............... 10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4.2 Critérios visuais e disclaimers ..................................... 11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4.3 Rastreabilidade de navegação: TAG e localização ..................... 12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4.4 Matriz de visibilidade operacional: RBAC na interface ............... 12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4.5 Linhagem de dados: validado versus IA-gerado ........................ 12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4.6 Limite do mockup estático ........................................... 13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4.7 Evolução do mockup estático para a aplicação executável ............. 13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4.8 Correções aplicadas a partir do feedback ............................ 15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5 INTELIGÊNCIA OPERACIONAL E GOVERNANÇA DA DECISÃO — SPRINT 3 ........... 15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5.1 Metric Contracts .................................................... 15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5.2 Definição operacional de anomalia ................................... 16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5.3 Ações automáticas permitidas ........................................ 16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5.4 Circuit Breaker ..................................................... 16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5.5 Protocolo de handoff humano ......................................... 17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5.6 Informação explícita e informação tácita ............................ 18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6 EVIDÊNCIAS DE FUNCIONAMENTO ........................................... 19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7 CONSIDERAÇÕES FINAIS .................................................. 24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r>
        <w:t>A plataforma Forzy monitora motores elétricos industriais por meio de dados de rotação, vibração, temperatura e corrente. O trabalho de GenAI acrescentou classificação de falhas e detecção semissupervisionada de anomalias em janelas temporais. A existência de um modelo, entretanto, não define sozinha quando uma recomendação é confiável ou qual ação pode ser executada sem supervisão.</w:t>
      </w:r>
    </w:p>
    <w:p>
      <w:r>
        <w:t>Nesta sprint, a governança é tratada como uma camada operacional sobre o modelo. Seu papel é formalizar os limites dos sensores, separar desvio físico de desvio estatístico, bloquear alertas em condições de dados ou incerteza inadequadas e transferir decisões críticas para o especialista. Essa evolução responde diretamente aos feedbacks anteriores: restaura a lógica de documento vivo, recupera o detalhamento da primeira sprint e substitui o mockup estático por uma aplicação executável.</w:t>
      </w:r>
    </w:p>
    <w:p>
      <w:pPr>
        <w:pStyle w:val="Heading1"/>
      </w:pPr>
      <w:r>
        <w:t>2 CONTEXTUALIZAÇÃO DA SOLUÇÃO FORZY</w:t>
      </w:r>
    </w:p>
    <w:p>
      <w:r>
        <w:t>A solução é organizada em cinco módulos integrados: extração de dados, registro de equipamentos, interface, modelagem e integração conversacional. O banco acadêmico contém 30.000 leituras sintéticas de 20 motores, registradas em intervalos de um minuto durante 25 horas. As variáveis originais são rotação, vibração, temperatura e corrente.</w:t>
      </w:r>
    </w:p>
    <w:p>
      <w:r>
        <w:t>O detector de anomalias aprende o comportamento normal de cada motor por mediana e intervalo interquartil das primeiras 30 leituras. Em seguida, processa janelas de 30 minutos com avanço de cinco minutos. O threshold do Autoencoder foi calculado no percentil 99 das janelas normais de validação e vale exatamente 0,9512501159120564; a interface o apresenta arredondado como 0,9513. Um alerta só é persistente depois de três janelas consecutivas acima desse valor.</w:t>
      </w:r>
    </w:p>
    <w:p>
      <w:r>
        <w:t xml:space="preserve">Para atender ao escopo de governança, o protótipo acrescenta </w:t>
      </w:r>
      <w:r>
        <w:rPr>
          <w:rFonts w:ascii="Consolas" w:hAnsi="Consolas"/>
          <w:sz w:val="20"/>
        </w:rPr>
        <w:t>aceleracao_g</w:t>
      </w:r>
      <w:r>
        <w:t>. Essa variável é uma simulação equivalente derivada da vibração RMS, considerando componente dominante de 60 Hz e ruído determinístico. Ela não é apresentada como medição industrial nem passa a integrar retroativamente as features do modelo treinado.</w:t>
      </w:r>
    </w:p>
    <w:p>
      <w:pPr>
        <w:pStyle w:val="Heading1"/>
      </w:pPr>
      <w:r>
        <w:t>3 EVOLUÇÃO DA GOVERNANÇA — SPRINT 1</w:t>
      </w:r>
    </w:p>
    <w:p>
      <w:pPr>
        <w:pStyle w:val="Heading2"/>
      </w:pPr>
      <w:r>
        <w:t>3.1 Hierarquia e controle de acesso</w:t>
      </w:r>
    </w:p>
    <w:p>
      <w:r>
        <w:t>A primeira sprint definiu quatro papéis operacionais segundo o princípio de menor privilégio. Essa separação foi preservada porque a nova camada de decisão não pode dar a todos os usuários o mesmo acesso aos dados, aos parâmetros dos modelos ou aos controles da planta.</w:t>
      </w:r>
    </w:p>
    <w:p>
      <w:r>
        <w:t xml:space="preserve">O </w:t>
      </w:r>
      <w:r>
        <w:rPr>
          <w:b/>
        </w:rPr>
        <w:t>Técnico de Operação</w:t>
      </w:r>
      <w:r>
        <w:t xml:space="preserve"> acompanha valores em tempo real por TAG, recebe alertas em linguagem operacional, consulta orientações e registra ocorrências. Ele não altera contratos, parâmetros do modelo ou configurações de segurança. O </w:t>
      </w:r>
      <w:r>
        <w:rPr>
          <w:b/>
        </w:rPr>
        <w:t>Gestor de Planta</w:t>
      </w:r>
      <w:r>
        <w:t xml:space="preserve"> acompanha o histórico completo, relatórios e indicadores operacionais, além de propor alterações de limites que ainda dependem do processo formal de revisão.</w:t>
      </w:r>
    </w:p>
    <w:p>
      <w:r>
        <w:t xml:space="preserve">O </w:t>
      </w:r>
      <w:r>
        <w:rPr>
          <w:b/>
        </w:rPr>
        <w:t>Engenheiro de Dados/IA</w:t>
      </w:r>
      <w:r>
        <w:t xml:space="preserve"> acessa dados brutos, versões de modelos, métricas e pipelines para investigar desvios e manter os artefatos. O </w:t>
      </w:r>
      <w:r>
        <w:rPr>
          <w:b/>
        </w:rPr>
        <w:t>Auditor de Segurança/TI</w:t>
      </w:r>
      <w:r>
        <w:t xml:space="preserve"> consulta trilhas de auditoria em modo leitura e verifica quem executou cada ação. Na Sprint 3, o Engenheiro de Manutenção passa a ser o destinatário operacional do handoff, sem receber permissão para reescrever retroativamente os registros.</w:t>
      </w:r>
    </w:p>
    <w:p>
      <w:r>
        <w:rPr>
          <w:b/>
        </w:rPr>
        <w:t>Quadro 1 — Papéis e responsabilidades na plataforma Forzy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3"/>
        <w:gridCol w:w="3414"/>
        <w:gridCol w:w="3414"/>
      </w:tblGrid>
      <w:tr>
        <w:trPr>
          <w:tblHeader w:val="true"/>
        </w:trPr>
        <w:tc>
          <w:tcPr>
            <w:tcW w:type="dxa" w:w="22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Relação com a Sprint 3</w:t>
            </w:r>
          </w:p>
        </w:tc>
      </w:tr>
      <w:tr>
        <w:tc>
          <w:tcPr>
            <w:tcW w:type="dxa" w:w="22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Técnico de Operação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Monitorar motores, receber alertas e registrar ocorrências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Visualiza alertas e evidências, sem alterar contratos</w:t>
            </w:r>
          </w:p>
        </w:tc>
      </w:tr>
      <w:tr>
        <w:tc>
          <w:tcPr>
            <w:tcW w:type="dxa" w:w="22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Gestor de Planta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Gerenciar ativos, histórico e limites operacionais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Propõe e aprova revisões dos limites da planta</w:t>
            </w:r>
          </w:p>
        </w:tc>
      </w:tr>
      <w:tr>
        <w:tc>
          <w:tcPr>
            <w:tcW w:type="dxa" w:w="22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Engenheiro de Dados/IA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Validar dados, modelos e pipelines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Mantém versão do modelo e investiga divergências</w:t>
            </w:r>
          </w:p>
        </w:tc>
      </w:tr>
      <w:tr>
        <w:tc>
          <w:tcPr>
            <w:tcW w:type="dxa" w:w="22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Auditor de Segurança/TI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Consultar logs imutáveis em modo leitura</w:t>
            </w:r>
          </w:p>
        </w:tc>
        <w:tc>
          <w:tcPr>
            <w:tcW w:type="dxa" w:w="341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Audita contrato, breaker, handoff e decisão humana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Sprint 1.</w:t>
      </w:r>
    </w:p>
    <w:p>
      <w:r>
        <w:rPr>
          <w:b/>
        </w:rPr>
        <w:t>Quadro 2 — Matriz RBAC preservada e refinada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19"/>
        <w:gridCol w:w="1986"/>
        <w:gridCol w:w="1589"/>
        <w:gridCol w:w="1655"/>
        <w:gridCol w:w="1722"/>
      </w:tblGrid>
      <w:tr>
        <w:trPr>
          <w:tblHeader w:val="true"/>
        </w:trP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 ou recurso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Técnico de Operação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Gestor de Planta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Engenheiro de Dados/IA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Auditor de Segurança/TI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Dashboard em tempo real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 técnica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Auditoria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Dados brutos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Auditoria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Alertas de anomalia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Receber e registrar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Receber e acompanhar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Configurar modelo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Histórico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Últimos 7 dias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 em leitura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Cadastro por visão computacional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Executar captura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Aprovar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Validar algoritmo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Limites operacionais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Visualizar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Propor e aprovar revisão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Configurar após aprovação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 versão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Modelos de ML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Acesso completo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 versão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Logs de auditoria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 técnica limitada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Acesso completo em leitura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Chatbot e manuais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acesso operacional</w:t>
            </w:r>
          </w:p>
        </w:tc>
      </w:tr>
      <w:tr>
        <w:tc>
          <w:tcPr>
            <w:tcW w:type="dxa" w:w="21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Decisão física sobre o motor</w:t>
            </w:r>
          </w:p>
        </w:tc>
        <w:tc>
          <w:tcPr>
            <w:tcW w:type="dxa" w:w="198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Seguir procedimento autorizado</w:t>
            </w:r>
          </w:p>
        </w:tc>
        <w:tc>
          <w:tcPr>
            <w:tcW w:type="dxa" w:w="158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Coordenar procedimento</w:t>
            </w:r>
          </w:p>
        </w:tc>
        <w:tc>
          <w:tcPr>
            <w:tcW w:type="dxa" w:w="165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comando físico</w:t>
            </w:r>
          </w:p>
        </w:tc>
        <w:tc>
          <w:tcPr>
            <w:tcW w:type="dxa" w:w="172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comando físico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matriz RBAC da Sprint 1 e nos limites da Sprint 3.</w:t>
      </w:r>
    </w:p>
    <w:p>
      <w:pPr>
        <w:pStyle w:val="Heading2"/>
      </w:pPr>
      <w:r>
        <w:t>3.2 Cadeia D-I-C-I</w:t>
      </w:r>
    </w:p>
    <w:p>
      <w:r>
        <w:t xml:space="preserve">O fluxo Dado–Informação–Conhecimento–Inteligência permanece como estrutura explicativa do ativo. No nível de </w:t>
      </w:r>
      <w:r>
        <w:rPr>
          <w:b/>
        </w:rPr>
        <w:t>Dado</w:t>
      </w:r>
      <w:r>
        <w:t xml:space="preserve">, cada leitura bruta é vinculada ao motor, ao tipo de sensor, ao timestamp e à unidade recebida. No nível de </w:t>
      </w:r>
      <w:r>
        <w:rPr>
          <w:b/>
        </w:rPr>
        <w:t>Informação</w:t>
      </w:r>
      <w:r>
        <w:t>, o pipeline converte o valor para a unidade contratada e verifica domínio físico, atualidade, completude e duplicidade, produzindo um estado de qualidade.</w:t>
      </w:r>
    </w:p>
    <w:p>
      <w:r>
        <w:t xml:space="preserve">No nível de </w:t>
      </w:r>
      <w:r>
        <w:rPr>
          <w:b/>
        </w:rPr>
        <w:t>Conhecimento</w:t>
      </w:r>
      <w:r>
        <w:t xml:space="preserve">, as leituras aprovadas são comparadas com o baseline individual do motor, com os thresholds físicos e com o histórico de janelas. O modelo calcula o score de anomalia, mas esse score é tratado como evidência estatística e não como causa física comprovada. No nível de </w:t>
      </w:r>
      <w:r>
        <w:rPr>
          <w:b/>
        </w:rPr>
        <w:t>Inteligência</w:t>
      </w:r>
      <w:r>
        <w:t>, a recomendação passa pelos limites de persistência, confiança, coerência física e Circuit Breaker antes de chegar ao usuário.</w:t>
      </w:r>
    </w:p>
    <w:p>
      <w:r>
        <w:rPr>
          <w:b/>
        </w:rPr>
        <w:t>Quadro 3 — Cadeia D-I-C-I atualizada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7"/>
        <w:gridCol w:w="3082"/>
        <w:gridCol w:w="1849"/>
        <w:gridCol w:w="3083"/>
      </w:tblGrid>
      <w:tr>
        <w:trPr>
          <w:tblHeader w:val="true"/>
        </w:trPr>
        <w:tc>
          <w:tcPr>
            <w:tcW w:type="dxa" w:w="10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08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Entrada e tratamento</w:t>
            </w:r>
          </w:p>
        </w:tc>
        <w:tc>
          <w:tcPr>
            <w:tcW w:type="dxa" w:w="18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08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Saída governada</w:t>
            </w:r>
          </w:p>
        </w:tc>
      </w:tr>
      <w:tr>
        <w:tc>
          <w:tcPr>
            <w:tcW w:type="dxa" w:w="10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Dado</w:t>
            </w:r>
          </w:p>
        </w:tc>
        <w:tc>
          <w:tcPr>
            <w:tcW w:type="dxa" w:w="308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Leitura bruta, motor, timestamp e unidade original</w:t>
            </w:r>
          </w:p>
        </w:tc>
        <w:tc>
          <w:tcPr>
            <w:tcW w:type="dxa" w:w="18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Módulo de extração</w:t>
            </w:r>
          </w:p>
        </w:tc>
        <w:tc>
          <w:tcPr>
            <w:tcW w:type="dxa" w:w="308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Registro identificável da leitura</w:t>
            </w:r>
          </w:p>
        </w:tc>
      </w:tr>
      <w:tr>
        <w:tc>
          <w:tcPr>
            <w:tcW w:type="dxa" w:w="10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Informação</w:t>
            </w:r>
          </w:p>
        </w:tc>
        <w:tc>
          <w:tcPr>
            <w:tcW w:type="dxa" w:w="308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Conversão de unidade e controles de qualidade</w:t>
            </w:r>
          </w:p>
        </w:tc>
        <w:tc>
          <w:tcPr>
            <w:tcW w:type="dxa" w:w="18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Pipeline de dados</w:t>
            </w:r>
          </w:p>
        </w:tc>
        <w:tc>
          <w:tcPr>
            <w:tcW w:type="dxa" w:w="308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Valor normalizado com estado de qualidade</w:t>
            </w:r>
          </w:p>
        </w:tc>
      </w:tr>
      <w:tr>
        <w:tc>
          <w:tcPr>
            <w:tcW w:type="dxa" w:w="10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Conhecimento</w:t>
            </w:r>
          </w:p>
        </w:tc>
        <w:tc>
          <w:tcPr>
            <w:tcW w:type="dxa" w:w="308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Baseline, thresholds, histórico e score do modelo</w:t>
            </w:r>
          </w:p>
        </w:tc>
        <w:tc>
          <w:tcPr>
            <w:tcW w:type="dxa" w:w="18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Regras e modelo de ML</w:t>
            </w:r>
          </w:p>
        </w:tc>
        <w:tc>
          <w:tcPr>
            <w:tcW w:type="dxa" w:w="308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Desvio físico ou estatístico contextualizado</w:t>
            </w:r>
          </w:p>
        </w:tc>
      </w:tr>
      <w:tr>
        <w:tc>
          <w:tcPr>
            <w:tcW w:type="dxa" w:w="10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Inteligência</w:t>
            </w:r>
          </w:p>
        </w:tc>
        <w:tc>
          <w:tcPr>
            <w:tcW w:type="dxa" w:w="308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Persistência, confiança, Circuit Breaker e limites de autonomia</w:t>
            </w:r>
          </w:p>
        </w:tc>
        <w:tc>
          <w:tcPr>
            <w:tcW w:type="dxa" w:w="18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Serviço de governança</w:t>
            </w:r>
          </w:p>
        </w:tc>
        <w:tc>
          <w:tcPr>
            <w:tcW w:type="dxa" w:w="308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Decisão explicável, bloqueio ou handoff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a partir da cadeia D-I-C-I da Sprint 1.</w:t>
      </w:r>
    </w:p>
    <w:p>
      <w:r>
        <w:t>Na Sprint 3, a passagem de Conhecimento para Inteligência deixa de ser automática em qualquer condição. O Circuit Breaker verifica se a recomendação possui qualidade e certeza suficientes.</w:t>
      </w:r>
    </w:p>
    <w:p>
      <w:pPr>
        <w:pStyle w:val="Heading2"/>
      </w:pPr>
      <w:r>
        <w:t>3.3 Explainability</w:t>
      </w:r>
    </w:p>
    <w:p>
      <w:r>
        <w:t>Na primeira sprint, o risco de caixa-preta foi tratado exigindo que todo alerta apresentasse o sensor envolvido, o valor observado, a referência utilizada, uma explicação compreensível e a ação recomendada. O nível de detalhe varia conforme o perfil: o Técnico de Operação precisa entender condição, urgência e ação segura; o Engenheiro de Dados/IA também precisa consultar score, parâmetros, versão e evidências técnicas.</w:t>
      </w:r>
    </w:p>
    <w:p>
      <w:r>
        <w:t>Na Sprint 3, o alerta executável informa motor, horário, leituras, unidades, threshold ultrapassado, score do modelo, persistência, confiança, ação permitida e versão do contrato. A explicação descreve associação e prioridade de inspeção, sem afirmar uma causa física que não foi confirmada. Essa correção também substitui a proposta inicial de modelos hipotéticos pela implementação realmente utilizada: baseline estatístico, Isolation Forest e Autoencoder, com o Autoencoder adotado no cenário demonstrável.</w:t>
      </w:r>
    </w:p>
    <w:p>
      <w:pPr>
        <w:pStyle w:val="Heading2"/>
      </w:pPr>
      <w:r>
        <w:t>3.4 Protocolo de rastreabilidade</w:t>
      </w:r>
    </w:p>
    <w:p>
      <w:r>
        <w:t>O cadastro por Visão Computacional definido na Sprint 1 continua seguindo um fluxo auditável:</w:t>
      </w:r>
    </w:p>
    <w:p>
      <w:pPr>
        <w:pStyle w:val="ListNumber"/>
      </w:pPr>
      <w:r>
        <w:t>o técnico autenticado captura a imagem da placa do motor;</w:t>
      </w:r>
    </w:p>
    <w:p>
      <w:pPr>
        <w:pStyle w:val="ListNumber"/>
      </w:pPr>
      <w:r>
        <w:t>o algoritmo de visão computacional processa a imagem e registra sua versão;</w:t>
      </w:r>
    </w:p>
    <w:p>
      <w:pPr>
        <w:pStyle w:val="ListNumber"/>
      </w:pPr>
      <w:r>
        <w:t>cada campo extraído recebe um score de confiança;</w:t>
      </w:r>
    </w:p>
    <w:p>
      <w:pPr>
        <w:pStyle w:val="ListNumber"/>
      </w:pPr>
      <w:r>
        <w:t>campos com confiança inferior a 80% são encaminhados para revisão;</w:t>
      </w:r>
    </w:p>
    <w:p>
      <w:pPr>
        <w:pStyle w:val="ListNumber"/>
      </w:pPr>
      <w:r>
        <w:t>o Gestor ou especialista valida os campos sinalizados;</w:t>
      </w:r>
    </w:p>
    <w:p>
      <w:pPr>
        <w:pStyle w:val="ListNumber"/>
      </w:pPr>
      <w:r>
        <w:t>o ativo é publicado com seus metadados preservados;</w:t>
      </w:r>
    </w:p>
    <w:p>
      <w:pPr>
        <w:pStyle w:val="ListNumber"/>
      </w:pPr>
      <w:r>
        <w:t>o evento é incluído em log append-only com hash de integridade.</w:t>
      </w:r>
    </w:p>
    <w:p>
      <w:r>
        <w:t xml:space="preserve">Esse protocolo permite reconstruir quem capturou a imagem, qual modelo processou o ativo, quais campos apresentaram incerteza e quem realizou a validação humana. A Sprint 3 estende o mesmo princípio aos alertas com os campos </w:t>
      </w:r>
      <w:r>
        <w:rPr>
          <w:rFonts w:ascii="Consolas" w:hAnsi="Consolas"/>
          <w:sz w:val="20"/>
        </w:rPr>
        <w:t>metric_contract_version</w:t>
      </w:r>
      <w:r>
        <w:t xml:space="preserve">, </w:t>
      </w:r>
      <w:r>
        <w:rPr>
          <w:rFonts w:ascii="Consolas" w:hAnsi="Consolas"/>
          <w:sz w:val="20"/>
        </w:rPr>
        <w:t>model_threshold</w:t>
      </w:r>
      <w:r>
        <w:t xml:space="preserve">, </w:t>
      </w:r>
      <w:r>
        <w:rPr>
          <w:rFonts w:ascii="Consolas" w:hAnsi="Consolas"/>
          <w:sz w:val="20"/>
        </w:rPr>
        <w:t>circuit_breaker_state</w:t>
      </w:r>
      <w:r>
        <w:t xml:space="preserve">, </w:t>
      </w:r>
      <w:r>
        <w:rPr>
          <w:rFonts w:ascii="Consolas" w:hAnsi="Consolas"/>
          <w:sz w:val="20"/>
        </w:rPr>
        <w:t>breaker_reasons</w:t>
      </w:r>
      <w:r>
        <w:t xml:space="preserve">, </w:t>
      </w:r>
      <w:r>
        <w:rPr>
          <w:rFonts w:ascii="Consolas" w:hAnsi="Consolas"/>
          <w:sz w:val="20"/>
        </w:rPr>
        <w:t>handoff_status</w:t>
      </w:r>
      <w:r>
        <w:t xml:space="preserve"> e </w:t>
      </w:r>
      <w:r>
        <w:rPr>
          <w:rFonts w:ascii="Consolas" w:hAnsi="Consolas"/>
          <w:sz w:val="20"/>
        </w:rPr>
        <w:t>human_justification</w:t>
      </w:r>
      <w:r>
        <w:t>.</w:t>
      </w:r>
    </w:p>
    <w:p>
      <w:pPr>
        <w:pStyle w:val="Heading2"/>
      </w:pPr>
      <w:r>
        <w:t>3.5 Dicionário de metadados</w:t>
      </w:r>
    </w:p>
    <w:p>
      <w:r>
        <w:rPr>
          <w:b/>
        </w:rPr>
        <w:t>Quadro 4 — Metadados obrigatórios preservados da Sprint 1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94"/>
        <w:gridCol w:w="1564"/>
        <w:gridCol w:w="1564"/>
        <w:gridCol w:w="3649"/>
      </w:tblGrid>
      <w:tr>
        <w:trPr>
          <w:tblHeader w:val="true"/>
        </w:trP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Obrigatoriedade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asset_tag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motor na planta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asset_uuid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Manter identificador interno imutável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registration_timestamp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ISO 8601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data e hora do cadastro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photo_file_hash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SHA-256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Verificar integridade da imagem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cv_algorithm_id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algoritmo de extração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cv_model_version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Semver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 versão do modelo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extraction_confidence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Número de 0 a 1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Medir confiança média da extração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fields_low_confidence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Lista JSON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Enumerar campos abaixo do limite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captured_by_user_id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quem realizou a captura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device_id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dispositivo de origem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validated_by_user_id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Condicional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revisor humano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validation_timestamp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ISO 8601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Condicional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o momento da revisão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data_source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Enum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Distinguir visão computacional, entrada manual ou importação</w:t>
            </w:r>
          </w:p>
        </w:tc>
      </w:tr>
      <w:tr>
        <w:tc>
          <w:tcPr>
            <w:tcW w:type="dxa" w:w="229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log_entry_hash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SHA-256</w:t>
            </w:r>
          </w:p>
        </w:tc>
        <w:tc>
          <w:tcPr>
            <w:tcW w:type="dxa" w:w="156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Detectar alteração retroativa do log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no dicionário de rastreabilidade da Sprint 1.</w:t>
      </w:r>
    </w:p>
    <w:p>
      <w:pPr>
        <w:pStyle w:val="Heading2"/>
      </w:pPr>
      <w:r>
        <w:t>3.6 Fairness e limitações</w:t>
      </w:r>
    </w:p>
    <w:p>
      <w:r>
        <w:t xml:space="preserve">A Sprint 1 identificou seis riscos de representatividade. O </w:t>
      </w:r>
      <w:r>
        <w:rPr>
          <w:b/>
        </w:rPr>
        <w:t>Viés de Marca</w:t>
      </w:r>
      <w:r>
        <w:t xml:space="preserve"> ocorre quando uma marca domina a base; o </w:t>
      </w:r>
      <w:r>
        <w:rPr>
          <w:b/>
        </w:rPr>
        <w:t>Viés de Condição</w:t>
      </w:r>
      <w:r>
        <w:t xml:space="preserve"> aparece quando predominam regimes normais; o </w:t>
      </w:r>
      <w:r>
        <w:rPr>
          <w:b/>
        </w:rPr>
        <w:t>Viés de Idade ou Legado</w:t>
      </w:r>
      <w:r>
        <w:t xml:space="preserve"> pode fazer um motor antigo parecer anômalo apenas por seu desgaste esperado; o </w:t>
      </w:r>
      <w:r>
        <w:rPr>
          <w:b/>
        </w:rPr>
        <w:t>Viés de Faixa de Potência</w:t>
      </w:r>
      <w:r>
        <w:t xml:space="preserve"> reduz a generalização fora das potências observadas; o </w:t>
      </w:r>
      <w:r>
        <w:rPr>
          <w:b/>
        </w:rPr>
        <w:t>Viés Temporal</w:t>
      </w:r>
      <w:r>
        <w:t xml:space="preserve"> ignora turnos e sazonalidade; e o </w:t>
      </w:r>
      <w:r>
        <w:rPr>
          <w:b/>
        </w:rPr>
        <w:t>Viés de Confirmação no Labeling</w:t>
      </w:r>
      <w:r>
        <w:t xml:space="preserve"> transfere para o modelo a interpretação de uma única equipe.</w:t>
      </w:r>
    </w:p>
    <w:p>
      <w:r>
        <w:rPr>
          <w:b/>
        </w:rPr>
        <w:t>Quadro 5 — Estratégia de curadoria e fairness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7"/>
        <w:gridCol w:w="3307"/>
        <w:gridCol w:w="3307"/>
      </w:tblGrid>
      <w:tr>
        <w:trPr>
          <w:tblHeader w:val="true"/>
        </w:trP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Controle preservado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 de revisão</w:t>
            </w:r>
          </w:p>
        </w:tc>
      </w:tr>
      <w:t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Diversidade de dados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Representar marcas, potências, idades e condições distintas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Medir cobertura antes de treinar</w:t>
            </w:r>
          </w:p>
        </w:tc>
      </w:tr>
      <w:t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Validação multiplanta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Testar em plantas não usadas no treinamento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Comparar queda de desempenho entre contextos</w:t>
            </w:r>
          </w:p>
        </w:tc>
      </w:tr>
      <w:t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Monitoramento por segmento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Calcular precision, recall e F1 por grupo de motor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Investigar disparidades relevantes</w:t>
            </w:r>
          </w:p>
        </w:tc>
      </w:tr>
      <w:t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Feedback operacional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alertas validados e rejeitados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Revisar dados e thresholds periodicamente</w:t>
            </w:r>
          </w:p>
        </w:tc>
      </w:tr>
      <w:tr>
        <w:tc>
          <w:tcPr>
            <w:tcW w:type="dxa" w:w="245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Model Card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Documentar dados, versão, limites e condições de uso</w:t>
            </w:r>
          </w:p>
        </w:tc>
        <w:tc>
          <w:tcPr>
            <w:tcW w:type="dxa" w:w="330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Manter 100% dos modelos publicados com ficha atualizada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estratégia da Sprint 1.</w:t>
      </w:r>
    </w:p>
    <w:p>
      <w:r>
        <w:t>As metas quantitativas propostas na primeira sprint devem ser tratadas como objetivos de validação, e não como resultados já comprovados. Na Sprint 3, o risco de um threshold global favorecer motores próximos ao padrão dominante é reduzido pelo baseline individual por motor e pelo versionamento dos contratos. Os resultados acadêmicos não autorizam implantação direta em uma planta real.</w:t>
      </w:r>
    </w:p>
    <w:p>
      <w:pPr>
        <w:pStyle w:val="Heading1"/>
      </w:pPr>
      <w:r>
        <w:t>4 EVOLUÇÃO DA GOVERNANÇA — SPRINT 2</w:t>
      </w:r>
    </w:p>
    <w:p>
      <w:r>
        <w:t>A Sprint 2 evolui a governança para a interface. A planta baixa inteligente é onde o operador e a IA se encontram. Cada elemento visual deve ser governado com clareza, rastreabilidade e segurança.</w:t>
      </w:r>
    </w:p>
    <w:p>
      <w:r>
        <w:t xml:space="preserve">O artefato histórico desta etapa está preservado em </w:t>
      </w:r>
      <w:r>
        <w:rPr>
          <w:rFonts w:ascii="Consolas" w:hAnsi="Consolas"/>
          <w:sz w:val="20"/>
        </w:rPr>
        <w:t>docs/historico/sprint2_mockup.html</w:t>
      </w:r>
      <w:r>
        <w:t>. O arquivo mantém o HTML entregue na época, inclusive sua identificação histórica de 2025; a aplicação executável e as regras de decisão da Sprint 3 são descritas a seguir.</w:t>
      </w:r>
    </w:p>
    <w:p>
      <w:pPr>
        <w:keepNext/>
        <w:ind w:firstLine="0"/>
      </w:pPr>
      <w:r>
        <w:rPr>
          <w:b/>
        </w:rPr>
        <w:t>Figura 1 — Mockup navegável da planta baixa na Sprint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1" name="Picture 1" descr="Mockup navegável da planta baixa na Sprint 2" title="Mockup navegável da planta baixa na Sprin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2_01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do mockup da Sprint 2 (2025).</w:t>
      </w:r>
    </w:p>
    <w:p>
      <w:pPr>
        <w:pStyle w:val="Heading2"/>
      </w:pPr>
      <w:r>
        <w:t>4.1 Entrega histórica: mockup da planta baixa inteligente</w:t>
      </w:r>
    </w:p>
    <w:p>
      <w:r>
        <w:t>O mockup histórico apresenta o cabeçalho “Forzy Digital-Twin — Planta Baixa Inteligente” e a identificação “Sprint 2 | Demonstração de Governança Visual e Navegação”. A tela é organizada em uma barra lateral, uma área principal com a planta e um painel de detalhes. A barra lateral expõe o perfil de usuário, o status do motor e a linhagem do dado. A área principal representa duas linhas da planta em um SVG com grade:</w:t>
      </w:r>
    </w:p>
    <w:p>
      <w:pPr>
        <w:pStyle w:val="ListBullet"/>
      </w:pPr>
      <w:r>
        <w:t>LINHA 01 — Setor de Compressão;</w:t>
      </w:r>
    </w:p>
    <w:p>
      <w:pPr>
        <w:pStyle w:val="ListBullet"/>
      </w:pPr>
      <w:r>
        <w:t>LINHA 02 — Setor de Bombeamento.</w:t>
      </w:r>
    </w:p>
    <w:p>
      <w:r>
        <w:t>Cada motor é representado por um ícone colorido e identificado por uma TAG. O painel de detalhes é aberto ao clicar no ícone e mostra equipamento, localização, especificação, valor atual (D+0), status e linhagem do dado. Conforme o registro, também são apresentados o validador e a data de validação, o algoritmo e o score, ou o último registro e o motivo de um sensor inativo. O rodapé registra que a demonstração permite consultar critérios de clareza, linhagem de dados e justificativa de status.</w:t>
      </w:r>
    </w:p>
    <w:p>
      <w:r>
        <w:rPr>
          <w:b/>
        </w:rPr>
        <w:t>Quadro S2.1 — Ativos representados no HTML histórico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8"/>
        <w:gridCol w:w="1706"/>
        <w:gridCol w:w="3143"/>
        <w:gridCol w:w="808"/>
        <w:gridCol w:w="2516"/>
      </w:tblGrid>
      <w:tr>
        <w:trPr>
          <w:tblHeader w:val="true"/>
        </w:trP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TAG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Localização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Equipamento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Linhagem do dado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MTR-01-001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01 — PONTO 05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Motor de Indução Trifásico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Validado por humano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MTR-01-002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01 — PONTO 15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Motor de Indução Trifásico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Atenção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IA-Automático (não validado)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MTR-01-003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01 — PONTO 25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Motor de Indução Trifásico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Crítico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Pendente de Validação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MTR-01-004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01 — PONTO 35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Motor de Indução Trifásico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Validado por humano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MTR-01-005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01 — PONTO 45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Motor de Indução Trifásico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Dados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Sensor inativo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MTR-02-001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02 — PONTO 10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Bomba Centrífuga com Motor Acoplado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Validado por humano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MTR-02-002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02 — PONTO 20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Bomba Centrífuga com Motor Acoplado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Atenção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Validado por humano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MTR-02-003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02 — PONTO 30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Bomba Centrífuga com Motor Acoplado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Crítico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Validado por humano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MTR-02-004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02 — PONTO 40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Bomba Centrífuga com Motor Acoplado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IA-Automático (não validado)</w:t>
            </w:r>
          </w:p>
        </w:tc>
      </w:tr>
      <w:tr>
        <w:tc>
          <w:tcPr>
            <w:tcW w:type="dxa" w:w="89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MTR-02-005</w:t>
            </w:r>
          </w:p>
        </w:tc>
        <w:tc>
          <w:tcPr>
            <w:tcW w:type="dxa" w:w="17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LINHA 02 — PONTO 50</w:t>
            </w:r>
          </w:p>
        </w:tc>
        <w:tc>
          <w:tcPr>
            <w:tcW w:type="dxa" w:w="3143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Bomba Centrífuga com Motor Acoplado</w:t>
            </w:r>
          </w:p>
        </w:tc>
        <w:tc>
          <w:tcPr>
            <w:tcW w:type="dxa" w:w="80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Atenção</w:t>
            </w:r>
          </w:p>
        </w:tc>
        <w:tc>
          <w:tcPr>
            <w:tcW w:type="dxa" w:w="251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IA-Automático (não validado)</w:t>
            </w:r>
          </w:p>
        </w:tc>
      </w:tr>
    </w:tbl>
    <w:p>
      <w:pPr>
        <w:spacing w:after="0"/>
      </w:pPr>
    </w:p>
    <w:p>
      <w:r>
        <w:t>Os registros acima são os dez ativos estáticos do objeto motorData do HTML. A cor do ícone expressa Normal, Atenção, Crítico ou Sem Dados; os badges distinguem Validado, IA-Gerado e Pendente.</w:t>
      </w:r>
    </w:p>
    <w:p>
      <w:pPr>
        <w:pStyle w:val="Heading2"/>
      </w:pPr>
      <w:r>
        <w:t>4.2 Critérios visuais e disclaimers</w:t>
      </w:r>
    </w:p>
    <w:p>
      <w:r>
        <w:t>O Protocolo de Disclaimers Visuais acompanha cada dado. O usuário sabe: é tempo real ou histórico? Qual a precisão? Foi validado por humano ou gerado por IA?</w:t>
      </w:r>
    </w:p>
    <w:p>
      <w:r>
        <w:rPr>
          <w:b/>
        </w:rPr>
        <w:t>Quadro S2.2 — Exemplos de disclaimers definidos na Sprint 2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5879"/>
      </w:tblGrid>
      <w:tr>
        <w:trPr>
          <w:tblHeader w:val="true"/>
        </w:trP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Disclaimer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Valor em tempo real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“Dado em tempo real, atualizado a cada 1 minuto”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Alerta IA-gerado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“Alerta gerado por IA com 92% confiança. Validar antes de agir”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Alerta validado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“Alerta verificado por especialista em 14/07/2025”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Dado faltante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“Sensor em calibração, retorna em ~2 minutos”</w:t>
            </w:r>
          </w:p>
        </w:tc>
      </w:tr>
    </w:tbl>
    <w:p>
      <w:pPr>
        <w:spacing w:after="0"/>
      </w:pPr>
    </w:p>
    <w:p>
      <w:r>
        <w:t>No HTML, o disclaimer aparece ao final do painel de detalhes, sob o título “Disclaimer &amp; Justificativa”. Os registros históricos também mostram situações concretas: alerta de IA com confiança, alerta aguardando validação, operação normal, sensor em calibração e recomendação de inspeção. A indicação visual não elimina a revisão: ela informa a origem do dado, o estado conhecido e a justificativa disponível para o usuário.</w:t>
      </w:r>
    </w:p>
    <w:p>
      <w:pPr>
        <w:pStyle w:val="Heading2"/>
      </w:pPr>
      <w:r>
        <w:t>4.3 Rastreabilidade de navegação: TAG e localização</w:t>
      </w:r>
    </w:p>
    <w:p>
      <w:r>
        <w:t>Quando uma TAG é associada a um motor ou movida na planta, o sistema registra: ID do usuário, timestamp, versão do mapa, confiança da extração (se IA), hash SHA-256 do log.</w:t>
      </w:r>
    </w:p>
    <w:p>
      <w:r>
        <w:t>Os metadados obrigatórios definidos na Sprint 2 são:</w:t>
      </w:r>
    </w:p>
    <w:p>
      <w:r>
        <w:t>asset_uuid, location_id, association_timestamp, associated_by_user_id, validation_method, confidence_score, map_version_id, log_entry_hash.</w:t>
      </w:r>
    </w:p>
    <w:p>
      <w:r>
        <w:t>No mockup, a TAG identifica cada grupo de motor no mapa e a localização é exibida no detalhe como LINHA e PONTO. O registro não trata uma posição visual como suficiente para auditoria: identidade do ativo, momento da associação, método de validação e integridade do log precisam permanecer vinculados. A decisão de governança não substitui a identidade do ativo; nenhum alerta pode ser emitido se a leitura não estiver associada de forma inequívoca a um motor.</w:t>
      </w:r>
    </w:p>
    <w:p>
      <w:pPr>
        <w:pStyle w:val="Heading2"/>
      </w:pPr>
      <w:r>
        <w:t>4.4 Matriz de visibilidade operacional: RBAC na interface</w:t>
      </w:r>
    </w:p>
    <w:p>
      <w:r>
        <w:t>O RBAC da Sprint 1 foi refinado para a interface. Aplica-se minimização de dados: mostrar apenas o necessário para cada função.</w:t>
      </w:r>
    </w:p>
    <w:p>
      <w:r>
        <w:rPr>
          <w:b/>
        </w:rPr>
        <w:t>Quadro S2.3 — Visibilidade por perfil na Sprint 2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5879"/>
      </w:tblGrid>
      <w:tr>
        <w:trPr>
          <w:tblHeader w:val="true"/>
        </w:trP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Elementos visíveis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Técnico de Operação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Ícones de status, alertas, disclaimers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Gestor de Planta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Ícones de status, alertas, disclaimers + histórico de movimentações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Engenheiro de Dados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Tudo + dados brutos e parâmetros do modelo</w:t>
            </w:r>
          </w:p>
        </w:tc>
      </w:tr>
      <w:tr>
        <w:tc>
          <w:tcPr>
            <w:tcW w:type="dxa" w:w="31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Auditor de TI</w:t>
            </w:r>
          </w:p>
        </w:tc>
        <w:tc>
          <w:tcPr>
            <w:tcW w:type="dxa" w:w="587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Tudo, mas leitura-only + logs completos</w:t>
            </w:r>
          </w:p>
        </w:tc>
      </w:tr>
    </w:tbl>
    <w:p>
      <w:pPr>
        <w:spacing w:after="0"/>
      </w:pPr>
    </w:p>
    <w:p>
      <w:r>
        <w:t>Os quatro perfis aparecem no seletor “Perfil de Usuário” do HTML: Técnico de Operação, Gestor de Planta, Engenheiro de Dados e Auditor de TI. O seletor torna a hierarquia de acesso visível, enquanto a matriz define o que cada função precisa consultar na planta, nos alertas, nos dados e nos logs.</w:t>
      </w:r>
    </w:p>
    <w:p>
      <w:pPr>
        <w:pStyle w:val="Heading2"/>
      </w:pPr>
      <w:r>
        <w:t>4.5 Linhagem de dados: validado versus IA-gerado</w:t>
      </w:r>
    </w:p>
    <w:p>
      <w:r>
        <w:t>Um indicador visual acompanha cada dado crítico:</w:t>
      </w:r>
    </w:p>
    <w:p>
      <w:pPr>
        <w:pStyle w:val="ListBullet"/>
      </w:pPr>
      <w:r>
        <w:rPr>
          <w:b/>
        </w:rPr>
        <w:t>VALIDADO POR HUMANO:</w:t>
      </w:r>
      <w:r>
        <w:t xml:space="preserve"> ícone com checkmark verde. Descrição: “[Nome do validador] validou em</w:t>
      </w:r>
    </w:p>
    <w:p>
      <w:r>
        <w:t>[data/hora]”;</w:t>
      </w:r>
    </w:p>
    <w:p>
      <w:pPr>
        <w:pStyle w:val="ListBullet"/>
      </w:pPr>
      <w:r>
        <w:rPr>
          <w:b/>
        </w:rPr>
        <w:t>GERADO POR IA:</w:t>
      </w:r>
      <w:r>
        <w:t xml:space="preserve"> ícone com engrenagem. Descrição: “Extraído por IA v3.2.1 com XX% confiança”;</w:t>
      </w:r>
    </w:p>
    <w:p>
      <w:pPr>
        <w:pStyle w:val="ListBullet"/>
      </w:pPr>
      <w:r>
        <w:rPr>
          <w:b/>
        </w:rPr>
        <w:t>PENDENTE DE VALIDAÇÃO:</w:t>
      </w:r>
      <w:r>
        <w:t xml:space="preserve"> ícone com interrogação amarela. Descrição: “Aguardando revisão</w:t>
      </w:r>
    </w:p>
    <w:p>
      <w:r>
        <w:t>manual”.</w:t>
      </w:r>
    </w:p>
    <w:p>
      <w:r>
        <w:t>O HTML materializa esses estados pelos badges “✓ VALIDADO”, “⚙ IA-GERADO” e “? PENDENTE”. Os registros validados informam o técnico e a data; os registros gerados por IA informam algoritmo, confiança e data de extração; o registro pendente informa que a revisão ainda aguarda um especialista. O estado “Sem Dados” acrescenta o último registro e o motivo “Sensor em calibração preventiva”.</w:t>
      </w:r>
    </w:p>
    <w:p>
      <w:pPr>
        <w:pStyle w:val="Heading2"/>
      </w:pPr>
      <w:r>
        <w:t>4.6 Limite do mockup estático</w:t>
      </w:r>
    </w:p>
    <w:p>
      <w:r>
        <w:t>O HTML da Sprint 2 é um mockup navegável de dados fixos. Os dez registros ficam embutidos no objeto motorData, com status, linhagem, valores e disclaimers definidos no próprio arquivo. O script demonstra a abertura do painel de detalhes ao clicar em um motor; os seletores de perfil, status e linhagem representam a navegação planejada na interface.</w:t>
      </w:r>
    </w:p>
    <w:p>
      <w:r>
        <w:t>Essa entrega tornou a governança visível, mas não executava ainda a validação de Metric Contracts, a persistência de janelas, o Circuit Breaker ou o handoff humano. O status e a confiança mostrados no detalhe eram parte do registro visual do mockup. O HTML histórico, portanto, permanece como evidência da camada visual da Sprint 2, enquanto a aplicação da Sprint 3 executa as regras que antes estavam apenas representadas.</w:t>
      </w:r>
    </w:p>
    <w:p>
      <w:pPr>
        <w:pStyle w:val="Heading2"/>
      </w:pPr>
      <w:r>
        <w:t>4.7 Evolução do mockup estático para a aplicação executável da Sprint 3</w:t>
      </w:r>
    </w:p>
    <w:p>
      <w:r>
        <w:t>Na Sprint 3, os critérios visuais e de segurança da Sprint 2 passam a ser avaliados por uma aplicação Streamlit executável. A tela deixa de depender somente de registros fixos e passa a calcular uma decisão governada para cada cenário, mantendo a decisão física sob responsabilidade humana.</w:t>
      </w:r>
    </w:p>
    <w:p>
      <w:r>
        <w:rPr>
          <w:b/>
        </w:rPr>
        <w:t>Quadro S2.4 — Continuidade entre a interface histórica e a aplicação executável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36"/>
        <w:gridCol w:w="4535"/>
      </w:tblGrid>
      <w:tr>
        <w:trPr>
          <w:tblHeader w:val="true"/>
        </w:trP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Sprint 2 — mockup HTML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Sprint 3 — aplicação executável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Planta baixa com dez ícones, TAGs, cores de status e painel de detalhe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Seleção de cenário e motor na barra lateral, cartões das leituras e tabela de Metric Contracts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Status Normal, Atenção, Crítico e Sem Dados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Classificação executável por contrato, com unidade, limite de atenção, limite crítico, estado e versão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Badge Validado, IA-Gerado ou Pendente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Score do Autoencoder, threshold 0,9513, persistência, confiança e decisão auditável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Disclaimer e justificativa no detalhe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Ação automática explícita, motivo do bloqueio e evidências preservadas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Confiança e algoritmo registrados no motorData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Circuit Breaker para dado inválido, inconsistência, baixa confiança ou divergência entre modelo e sensor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Clique para consultar informação do ativo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Handoff para o Engenheiro de Manutenção, com decisão pendente, validada ou rejeitada e justificativa</w:t>
            </w:r>
          </w:p>
        </w:tc>
      </w:tr>
      <w:tr>
        <w:tc>
          <w:tcPr>
            <w:tcW w:type="dxa" w:w="453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Registro visual sem comando físico</w:t>
            </w:r>
          </w:p>
        </w:tc>
        <w:tc>
          <w:tcPr>
            <w:tcW w:type="dxa" w:w="453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Registro, monitoramento e solicitação de inspeção; a aplicação não executa parada física</w:t>
            </w:r>
          </w:p>
        </w:tc>
      </w:tr>
    </w:tbl>
    <w:p>
      <w:pPr>
        <w:spacing w:after="0"/>
      </w:pPr>
    </w:p>
    <w:p>
      <w:r>
        <w:t>Os cinco cenários reproduzíveis usados pela aplicação demonstram essa passagem da representação para a execução:</w:t>
      </w:r>
    </w:p>
    <w:p>
      <w:r>
        <w:rPr>
          <w:b/>
        </w:rPr>
        <w:t>Quadro S2.5 — Cenários executáveis da Sprint 3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1"/>
        <w:gridCol w:w="2474"/>
        <w:gridCol w:w="412"/>
        <w:gridCol w:w="1154"/>
        <w:gridCol w:w="742"/>
        <w:gridCol w:w="1568"/>
      </w:tblGrid>
      <w:tr>
        <w:trPr>
          <w:tblHeader w:val="true"/>
        </w:trP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Leituras apresentadas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Persistência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Confiança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governado</w:t>
            </w:r>
          </w:p>
        </w:tc>
      </w:tr>
      <w:t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Operação normal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70,0 °C; 2,0 mm/s; 0,08 g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0,50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Não confirmada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96%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NORMAL</w:t>
            </w:r>
          </w:p>
        </w:tc>
      </w:tr>
      <w:t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Faixa de atenção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95,0 °C; 3,0 mm/s; 0,10 g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0,70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Não confirmada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92%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ATTENTION</w:t>
            </w:r>
          </w:p>
        </w:tc>
      </w:tr>
      <w:t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Anomalia confirmada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102,0 °C; 9,8 mm/s; 0,21 g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1,30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Três janelas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94%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ALERT</w:t>
            </w:r>
          </w:p>
        </w:tc>
      </w:tr>
      <w:t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Circuit Breaker por dado inválido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sensor_error; 9,8 mm/s; 0,21 g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1,30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Três janelas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94%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BLOCKED</w:t>
            </w:r>
          </w:p>
        </w:tc>
      </w:tr>
      <w:tr>
        <w:tc>
          <w:tcPr>
            <w:tcW w:type="dxa" w:w="2721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Handoff por baixa confiança</w:t>
            </w:r>
          </w:p>
        </w:tc>
        <w:tc>
          <w:tcPr>
            <w:tcW w:type="dxa" w:w="247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102,0 °C; 9,8 mm/s; 0,21 g</w:t>
            </w:r>
          </w:p>
        </w:tc>
        <w:tc>
          <w:tcPr>
            <w:tcW w:type="dxa" w:w="41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1,30</w:t>
            </w:r>
          </w:p>
        </w:tc>
        <w:tc>
          <w:tcPr>
            <w:tcW w:type="dxa" w:w="115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Três janelas</w:t>
            </w:r>
          </w:p>
        </w:tc>
        <w:tc>
          <w:tcPr>
            <w:tcW w:type="dxa" w:w="74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72%</w:t>
            </w:r>
          </w:p>
        </w:tc>
        <w:tc>
          <w:tcPr>
            <w:tcW w:type="dxa" w:w="156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BLOCKED / handoff</w:t>
            </w:r>
          </w:p>
        </w:tc>
      </w:tr>
    </w:tbl>
    <w:p>
      <w:pPr>
        <w:spacing w:after="0"/>
      </w:pPr>
    </w:p>
    <w:p>
      <w:r>
        <w:t>Na operação normal, o sistema registra e mantém o monitoramento. Na faixa de atenção, destaca o desvio sem confirmar falha. Na anomalia confirmada, combina score acima do threshold, persistência e evidência física para solicitar inspeção. No cenário de dado inválido, a temperatura recebe sensor_error enquanto vibração e aceleração estão críticas, e o Circuit Breaker bloqueia o alerta decisório preservando a evidência. No handoff, a confiança de 72% fica abaixo do mínimo de 85%, e o caso é encaminhado ao Engenheiro de Manutenção.</w:t>
      </w:r>
    </w:p>
    <w:p>
      <w:r>
        <w:t>A aplicação também permite editar as leituras manualmente para a demonstração e oferece ao especialista as opções Pendente, Validado e Rejeitado, sempre com justificativa. Assim, a continuidade com a Sprint 2 não está apenas na aparência: os disclaimers, a origem do dado, a clareza do status e a rastreabilidade são transformados em estados, regras e registros que podem ser verificados durante a execução.</w:t>
      </w:r>
    </w:p>
    <w:p>
      <w:pPr>
        <w:pStyle w:val="Heading2"/>
      </w:pPr>
      <w:r>
        <w:t>4.8 Correções aplicadas a partir do feedback</w:t>
      </w:r>
    </w:p>
    <w:p>
      <w:pPr>
        <w:pStyle w:val="ListBullet"/>
      </w:pPr>
      <w:r>
        <w:t>reincorporação dos papéis, matriz RBAC, cadeia D-I-C-I, protocolo de cadastro, dicionário de metadados e estratégia de fairness da Sprint 1;</w:t>
      </w:r>
    </w:p>
    <w:p>
      <w:pPr>
        <w:pStyle w:val="ListBullet"/>
      </w:pPr>
      <w:r>
        <w:t>correção do ano de 2025 para 2026;</w:t>
      </w:r>
    </w:p>
    <w:p>
      <w:pPr>
        <w:pStyle w:val="ListBullet"/>
      </w:pPr>
      <w:r>
        <w:t>preservação da continuidade entre sprints;</w:t>
      </w:r>
    </w:p>
    <w:p>
      <w:pPr>
        <w:pStyle w:val="ListBullet"/>
      </w:pPr>
      <w:r>
        <w:t>aplicação funcional em substituição ao mockup apenas estático;</w:t>
      </w:r>
    </w:p>
    <w:p>
      <w:pPr>
        <w:pStyle w:val="ListBullet"/>
      </w:pPr>
      <w:r>
        <w:t>demonstração de thresholds, breaker e handoff diretamente na interface;</w:t>
      </w:r>
    </w:p>
    <w:p>
      <w:pPr>
        <w:pStyle w:val="ListBullet"/>
      </w:pPr>
      <w:r>
        <w:t>integração da matriz e das considerações finais aprovadas pelo grupo.</w:t>
      </w:r>
    </w:p>
    <w:p>
      <w:pPr>
        <w:pStyle w:val="Heading1"/>
      </w:pPr>
      <w:r>
        <w:t>5 INTELIGÊNCIA OPERACIONAL E GOVERNANÇA DA DECISÃO — SPRINT 3</w:t>
      </w:r>
    </w:p>
    <w:p>
      <w:pPr>
        <w:pStyle w:val="Heading2"/>
      </w:pPr>
      <w:r>
        <w:t>5.1 Metric Contracts</w:t>
      </w:r>
    </w:p>
    <w:p>
      <w:r>
        <w:t>Os contratos formalizam o significado, a unidade, a frequência, o responsável e os limites de cada métrica. Os valores são válidos apenas para o protótipo acadêmico e devem ser recalibrados antes de uso industrial.</w:t>
      </w:r>
    </w:p>
    <w:p>
      <w:r>
        <w:rPr>
          <w:b/>
        </w:rPr>
        <w:t>Quadro 6 — Síntese dos thresholds dos sensores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7"/>
        <w:gridCol w:w="1420"/>
        <w:gridCol w:w="1578"/>
        <w:gridCol w:w="2209"/>
        <w:gridCol w:w="1577"/>
      </w:tblGrid>
      <w:tr>
        <w:trPr>
          <w:tblHeader w:val="true"/>
        </w:trPr>
        <w:tc>
          <w:tcPr>
            <w:tcW w:type="dxa" w:w="228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4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Unidade</w:t>
            </w:r>
          </w:p>
        </w:tc>
        <w:tc>
          <w:tcPr>
            <w:tcW w:type="dxa" w:w="157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Normal</w:t>
            </w:r>
          </w:p>
        </w:tc>
        <w:tc>
          <w:tcPr>
            <w:tcW w:type="dxa" w:w="220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Atenção</w:t>
            </w:r>
          </w:p>
        </w:tc>
        <w:tc>
          <w:tcPr>
            <w:tcW w:type="dxa" w:w="157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Crítico</w:t>
            </w:r>
          </w:p>
        </w:tc>
      </w:tr>
      <w:tr>
        <w:tc>
          <w:tcPr>
            <w:tcW w:type="dxa" w:w="228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Temperatura</w:t>
            </w:r>
          </w:p>
        </w:tc>
        <w:tc>
          <w:tcPr>
            <w:tcW w:type="dxa" w:w="14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°C</w:t>
            </w:r>
          </w:p>
        </w:tc>
        <w:tc>
          <w:tcPr>
            <w:tcW w:type="dxa" w:w="157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90</w:t>
            </w:r>
          </w:p>
        </w:tc>
        <w:tc>
          <w:tcPr>
            <w:tcW w:type="dxa" w:w="220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90 a &lt; 100</w:t>
            </w:r>
          </w:p>
        </w:tc>
        <w:tc>
          <w:tcPr>
            <w:tcW w:type="dxa" w:w="157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100</w:t>
            </w:r>
          </w:p>
        </w:tc>
      </w:tr>
      <w:tr>
        <w:tc>
          <w:tcPr>
            <w:tcW w:type="dxa" w:w="228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Vibração RMS</w:t>
            </w:r>
          </w:p>
        </w:tc>
        <w:tc>
          <w:tcPr>
            <w:tcW w:type="dxa" w:w="14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mm/s</w:t>
            </w:r>
          </w:p>
        </w:tc>
        <w:tc>
          <w:tcPr>
            <w:tcW w:type="dxa" w:w="157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6</w:t>
            </w:r>
          </w:p>
        </w:tc>
        <w:tc>
          <w:tcPr>
            <w:tcW w:type="dxa" w:w="220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6 a &lt; 9</w:t>
            </w:r>
          </w:p>
        </w:tc>
        <w:tc>
          <w:tcPr>
            <w:tcW w:type="dxa" w:w="157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9</w:t>
            </w:r>
          </w:p>
        </w:tc>
      </w:tr>
      <w:tr>
        <w:tc>
          <w:tcPr>
            <w:tcW w:type="dxa" w:w="228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Aceleração simulada</w:t>
            </w:r>
          </w:p>
        </w:tc>
        <w:tc>
          <w:tcPr>
            <w:tcW w:type="dxa" w:w="14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g</w:t>
            </w:r>
          </w:p>
        </w:tc>
        <w:tc>
          <w:tcPr>
            <w:tcW w:type="dxa" w:w="157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0,1487</w:t>
            </w:r>
          </w:p>
        </w:tc>
        <w:tc>
          <w:tcPr>
            <w:tcW w:type="dxa" w:w="220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0,1487 a &lt; 0,1813</w:t>
            </w:r>
          </w:p>
        </w:tc>
        <w:tc>
          <w:tcPr>
            <w:tcW w:type="dxa" w:w="1577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0,1813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r>
        <w:t>Temperatura e vibração utilizam faixas empíricas do protótipo. Os limites da aceleração correspondem aos quantis 95% e 99% das 26.291 leituras normais simuladas.</w:t>
      </w:r>
    </w:p>
    <w:p>
      <w:r>
        <w:t>Os três contratos completos estão no documento específico de Metric Contracts. Todos usam frequência de uma leitura por minuto, persistência de três janelas e owner “Engenharia de Manutenção”. A ação automática máxima é registrar o evento e solicitar inspeção.</w:t>
      </w:r>
    </w:p>
    <w:p>
      <w:pPr>
        <w:pStyle w:val="Heading2"/>
      </w:pPr>
      <w:r>
        <w:t>5.2 Definição operacional de anomalia</w:t>
      </w:r>
    </w:p>
    <w:p>
      <w:r>
        <w:t>O sistema separa três conceitos:</w:t>
      </w:r>
    </w:p>
    <w:p>
      <w:pPr>
        <w:pStyle w:val="ListBullet"/>
      </w:pPr>
      <w:r>
        <w:rPr>
          <w:b/>
        </w:rPr>
        <w:t>desvio físico:</w:t>
      </w:r>
      <w:r>
        <w:t xml:space="preserve"> um sensor ultrapassou o limite de atenção ou crítico de seu contrato;</w:t>
      </w:r>
    </w:p>
    <w:p>
      <w:pPr>
        <w:pStyle w:val="ListBullet"/>
      </w:pPr>
      <w:r>
        <w:rPr>
          <w:b/>
        </w:rPr>
        <w:t>desvio estatístico:</w:t>
      </w:r>
      <w:r>
        <w:t xml:space="preserve"> o score do Autoencoder ultrapassou o threshold exato</w:t>
      </w:r>
    </w:p>
    <w:p>
      <w:r>
        <w:t>0,9512501159120564, exibido de forma arredondada como 0,9513;</w:t>
      </w:r>
    </w:p>
    <w:p>
      <w:pPr>
        <w:pStyle w:val="ListBullet"/>
      </w:pPr>
      <w:r>
        <w:rPr>
          <w:b/>
        </w:rPr>
        <w:t>anomalia confirmada:</w:t>
      </w:r>
      <w:r>
        <w:t xml:space="preserve"> score acima do threshold durante três janelas consecutivas, com</w:t>
      </w:r>
    </w:p>
    <w:p>
      <w:r>
        <w:t>evidência física e dados aprovados pelo Circuit Breaker.</w:t>
      </w:r>
    </w:p>
    <w:p>
      <w:r>
        <w:t>Uma anomalia representa comportamento fora do padrão aprendido. Ela não comprova a causa da falha. A classificação supervisionada pode sugerir uma categoria conhecida, mas a validação física permanece humana.</w:t>
      </w:r>
    </w:p>
    <w:p>
      <w:pPr>
        <w:pStyle w:val="Heading2"/>
      </w:pPr>
      <w:r>
        <w:t>5.3 Ações automáticas permitidas</w:t>
      </w:r>
    </w:p>
    <w:p>
      <w:r>
        <w:rPr>
          <w:b/>
        </w:rPr>
        <w:t>Quadro 7 — Autonomia do sistema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4"/>
        <w:gridCol w:w="3692"/>
        <w:gridCol w:w="3375"/>
      </w:tblGrid>
      <w:tr>
        <w:trPr>
          <w:tblHeader w:val="true"/>
        </w:trP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automática permitida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proibida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Normal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e manter monitoramento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Alterar configuração da planta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Atenção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Destacar desvio e acompanhar tendência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Parar motor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Anomalia pontual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Aguardar persistência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Emitir alerta crítico definitivo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Anomalia confirmada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alerta e solicitar inspeção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Executar parada física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Circuit Breaker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Bloquear decisão e registrar motivo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Ocultar ou descartar o evento</w:t>
            </w:r>
          </w:p>
        </w:tc>
      </w:tr>
      <w:tr>
        <w:tc>
          <w:tcPr>
            <w:tcW w:type="dxa" w:w="200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Handoff</w:t>
            </w:r>
          </w:p>
        </w:tc>
        <w:tc>
          <w:tcPr>
            <w:tcW w:type="dxa" w:w="36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Encaminhar evidências ao especialista</w:t>
            </w:r>
          </w:p>
        </w:tc>
        <w:tc>
          <w:tcPr>
            <w:tcW w:type="dxa" w:w="3375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Substituir a decisão humana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pPr>
        <w:pStyle w:val="Heading2"/>
      </w:pPr>
      <w:r>
        <w:t>5.4 Circuit Breaker</w:t>
      </w:r>
    </w:p>
    <w:p>
      <w:r>
        <w:t>O Circuit Breaker abre e trava o alerta decisório quando a qualidade do dado ou a incerteza não sustenta uma recomendação autônoma. O evento continua visível para investigação.</w:t>
      </w:r>
    </w:p>
    <w:p>
      <w:r>
        <w:t>Condições implementadas:</w:t>
      </w:r>
    </w:p>
    <w:p>
      <w:pPr>
        <w:pStyle w:val="ListBullet"/>
      </w:pPr>
      <w:r>
        <w:t>sensor obrigatório ausente, nulo, não numérico ou fora do domínio físico;</w:t>
      </w:r>
    </w:p>
    <w:p>
      <w:pPr>
        <w:pStyle w:val="ListBullet"/>
      </w:pPr>
      <w:r>
        <w:t>unidade incompatível;</w:t>
      </w:r>
    </w:p>
    <w:p>
      <w:pPr>
        <w:pStyle w:val="ListBullet"/>
      </w:pPr>
      <w:r>
        <w:t>timestamp duplicado ou leitura atrasada por mais de cinco minutos;</w:t>
      </w:r>
    </w:p>
    <w:p>
      <w:pPr>
        <w:pStyle w:val="ListBullet"/>
      </w:pPr>
      <w:r>
        <w:t>completude inferior a 90% da janela;</w:t>
      </w:r>
    </w:p>
    <w:p>
      <w:pPr>
        <w:pStyle w:val="ListBullet"/>
      </w:pPr>
      <w:r>
        <w:t>modelo indisponível;</w:t>
      </w:r>
    </w:p>
    <w:p>
      <w:pPr>
        <w:pStyle w:val="ListBullet"/>
      </w:pPr>
      <w:r>
        <w:t>score acima do threshold sem persistência;</w:t>
      </w:r>
    </w:p>
    <w:p>
      <w:pPr>
        <w:pStyle w:val="ListBullet"/>
      </w:pPr>
      <w:r>
        <w:t>confiança da classificação inferior a 85%;</w:t>
      </w:r>
    </w:p>
    <w:p>
      <w:pPr>
        <w:pStyle w:val="ListBullet"/>
      </w:pPr>
      <w:r>
        <w:t>divergência entre score anômalo e sensores normais, ou sensor crítico e score normal.</w:t>
      </w:r>
    </w:p>
    <w:p>
      <w:pPr>
        <w:pStyle w:val="Heading2"/>
      </w:pPr>
      <w:r>
        <w:t>5.5 Protocolo de handoff humano</w:t>
      </w:r>
    </w:p>
    <w:p>
      <w:r>
        <w:t xml:space="preserve">Quando o alerta exige conhecimento contextual, o sistema cria um handoff com estado </w:t>
      </w:r>
      <w:r>
        <w:rPr>
          <w:rFonts w:ascii="Consolas" w:hAnsi="Consolas"/>
          <w:sz w:val="20"/>
        </w:rPr>
        <w:t>pending</w:t>
      </w:r>
      <w:r>
        <w:t>. O pacote inclui identificação do motor, leituras, thresholds, score, persistência, confiança, motivo do breaker, evidências e destinatário. O Engenheiro de Manutenção pode marcar a recomendação como validada ou rejeitada, registrando justificativa. A alteração fica vinculada ao alerta e não modifica os fatos produzidos pelo modelo.</w:t>
      </w:r>
    </w:p>
    <w:p>
      <w:pPr>
        <w:sectPr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  <w:pgNumType w:start="4"/>
        </w:sectPr>
      </w:pPr>
    </w:p>
    <w:p>
      <w:pPr>
        <w:pStyle w:val="Heading2"/>
      </w:pPr>
      <w:r>
        <w:t>5.6 Informação explícita e informação tácita</w:t>
      </w:r>
    </w:p>
    <w:p>
      <w:r>
        <w:t>As regras numéricas, unidades, timestamps, versão do modelo e condições de qualidade são informações explícitas e executáveis. Contexto de planta, ruídos externos, intervenção recente, mudança de carga e histórico percebido pelo especialista são informações tácitas.</w:t>
      </w:r>
    </w:p>
    <w:p>
      <w:pPr>
        <w:keepNext/>
        <w:ind w:firstLine="0"/>
      </w:pPr>
      <w:r>
        <w:rPr>
          <w:b/>
        </w:rPr>
        <w:t>Quadro 8 — Matriz de supervisão humana</w:t>
      </w:r>
    </w:p>
    <w:tbl>
      <w:tblPr>
        <w:tblStyle w:val="TableGrid"/>
        <w:tblW w:type="dxa" w:w="14003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8"/>
        <w:gridCol w:w="2135"/>
        <w:gridCol w:w="2135"/>
        <w:gridCol w:w="1878"/>
        <w:gridCol w:w="1878"/>
        <w:gridCol w:w="1708"/>
        <w:gridCol w:w="2391"/>
      </w:tblGrid>
      <w:tr>
        <w:trPr>
          <w:tblHeader w:val="true"/>
        </w:trPr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Cenário real da Forzy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Informação explícita disponível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Informação tácita percebida pelo especialista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Ação permitida à IA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Decisão reservada ao humano</w:t>
            </w:r>
          </w:p>
        </w:tc>
        <w:tc>
          <w:tcPr>
            <w:tcW w:type="dxa" w:w="1708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Papel responsável</w:t>
            </w:r>
          </w:p>
        </w:tc>
        <w:tc>
          <w:tcPr>
            <w:tcW w:type="dxa" w:w="2391"/>
            <w:tcMar>
              <w:top w:type="dxa" w:w="60"/>
              <w:bottom w:type="dxa" w:w="6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Justificativa autoral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críticas logo após uma manutenção recente.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Temperatura, vibração e aceleração medidas, limites do Metric Contract e histórico do alerta.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engenheiro conhece a intervenção realizada, as peças alteradas e as condições de partida do equipamento.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Preservar as evidências, registrar o bloqueio de governança e realizar o handoff.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Avaliar se as leituras representam uma falha ou um efeito temporário da manutenção.</w:t>
            </w:r>
          </w:p>
        </w:tc>
        <w:tc>
          <w:tcPr>
            <w:tcW w:type="dxa" w:w="170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Uma manutenção recente exige avaliação humana porque a intervenção pode alterar temporariamente as leituras e somente o engenheiro conhece o que foi modificado.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Sensor de temperatura inválido enquanto vibração e aceleração estão em faixa crítica.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Status sensor_error, leituras disponíveis dos outros sensores, limites contratuais e regras de qualidade dos dados.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especialista avalia as condições reais do sensor e do equipamento que não aparecem nos dados válidos restantes.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Acionar o Circuit Breaker, preservar todas as leituras e encaminhar o caso.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Confirmar se existe uma anomalia física e decidir a inspeção necessária.</w:t>
            </w:r>
          </w:p>
        </w:tc>
        <w:tc>
          <w:tcPr>
            <w:tcW w:type="dxa" w:w="170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Um sensor inválido deve bloquear a decisão porque dados incompletos podem gerar um falso alerta e levar a uma decisão incorreta.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Temperatura, vibração e aceleração críticas, score do Autoencoder acima do limite por três janelas e alta confiança.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válidas, thresholds, score de anomalia, persistência de três janelas e confiança do modelo.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especialista considera o estado operacional, os riscos da planta e as consequências de uma parada.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Confirmar e priorizar o alerta, registrar as evidências e solicitar inspeção.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Autorizar uma parada física conforme o procedimento de segurança da planta.</w:t>
            </w:r>
          </w:p>
        </w:tc>
        <w:tc>
          <w:tcPr>
            <w:tcW w:type="dxa" w:w="170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 ou responsável pelo processo de segurança.</w:t>
            </w:r>
          </w:p>
        </w:tc>
        <w:tc>
          <w:tcPr>
            <w:tcW w:type="dxa" w:w="2391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Mesmo com a anomalia confirmada, o sistema não deve parar o motor sozinho porque o alerta auxilia a decisão, mas uma parada física afeta a segurança e a produção e precisa seguir o procedimento da planta.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críticas com 72% de confiança enquanto obras ou outras máquinas produzem vibração externa.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dos sensores, score, confiança de 72% e limite mínimo de 85% definido no contrato.</w:t>
            </w:r>
          </w:p>
        </w:tc>
        <w:tc>
          <w:tcPr>
            <w:tcW w:type="dxa" w:w="2135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engenheiro percebe a origem externa da vibração e o contexto operacional ao redor do equipamento.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Acionar o Circuit Breaker por baixa confiança, marcar a decisão como pendente e realizar o handoff com as evidências.</w:t>
            </w:r>
          </w:p>
        </w:tc>
        <w:tc>
          <w:tcPr>
            <w:tcW w:type="dxa" w:w="187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Validar ou rejeitar o alerta com justificativa e decidir se alguma intervenção é necessária.</w:t>
            </w:r>
          </w:p>
        </w:tc>
        <w:tc>
          <w:tcPr>
            <w:tcW w:type="dxa" w:w="1708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type="dxa" w:w="60"/>
              <w:bottom w:type="dxa" w:w="60"/>
              <w:start w:type="dxa" w:w="120"/>
              <w:end w:type="dxa" w:w="120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Ruídos externos e baixa confiança exigem a análise do engenheiro porque outras máquinas ou obras podem afetar a vibração e uma confiança de 72% ainda deixa dúvida suficiente para exigir avaliação humana.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pPr>
        <w:sectPr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6 EVIDÊNCIAS DE FUNCIONAMENTO</w:t>
      </w:r>
    </w:p>
    <w:p>
      <w:pPr>
        <w:keepNext/>
        <w:ind w:firstLine="0"/>
      </w:pPr>
      <w:r>
        <w:rPr>
          <w:b/>
        </w:rPr>
        <w:t>Figura 2 — Operação dos sensores dentro dos Metric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18209"/>
            <wp:docPr id="2" name="Picture 2" descr="Operação normal" title="Operação 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1_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3 — Sensor na faixa de atenção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Faixa de atenção" title="Faixa de aten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2_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4 — Anomalia persistente confirmada para inspeção humana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 descr="Anomalia confirmada" title="Anomalia confirm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3_al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5 — Circuit Breaker acionado por dado inválido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 descr="Circuit Breaker" title="Circuit Brea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4_circuit_brea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6 — Handoff acionado por baixa confiança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 descr="Handoff" title="Hand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5_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pStyle w:val="Heading1"/>
      </w:pPr>
      <w:r>
        <w:t>7 CONSIDERAÇÕES FINAIS</w:t>
      </w:r>
    </w:p>
    <w:p>
      <w:r>
        <w:t>Com a definição dos thresholds, quando aparece um alerta, conseguimos abri-lo e verificar qual valor ultrapassou o limite e qual era o limite esperado. Assim, é possível confiar ou desconfiar do alerta com base em algo concreto. Nos testes, houve um caso em que o sensor de temperatura apresentou erro enquanto a vibração estava crítica, e o sistema preferiu segurar o alerta em vez de confirmar uma falha com dados incompletos.</w:t>
      </w:r>
    </w:p>
    <w:p>
      <w:r>
        <w:t>O grupo considera que a decisão de parar o motor nunca deve ser tomada somente pela máquina, pois ela afeta a segurança e toda a produção da planta. O alerta deve apoiar a avaliação, mas a responsabilidade pela parada continua sendo humana.</w:t>
      </w:r>
    </w:p>
    <w:p>
      <w:r>
        <w:t>O protótipo ainda não pode ser usado diretamente em uma fábrica porque todos os dados são simulados. A aceleração também não vem de um sensor real, pois é calculada com base na vibração. Por isso, os limites precisariam ser recalibrados antes de qualquer uso industrial. A experiência do engenheiro continua necessária porque o sistema não consegue saber, por exemplo, que o motor recebeu manutenção no dia anterior ou que existe uma obra próxima causando vibrações. Esse contexto muda completamente a forma como a leitura deve ser interpretada.</w:t>
      </w:r>
    </w:p>
    <w:p>
      <w:r>
        <w:t>No começo, a governança era apenas um conjunto de regras escritas. Depois, essas regras passaram a aparecer na tela e, agora, são executadas de verdade, fazendo com que o próprio sistema interrompa sua decisão quando não existe base suficiente para decidir.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