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Subtitle"/>
      </w:pPr>
      <w:r>
        <w:t xml:space="preserve">RELATÓRIO TÉCNICO</w:t>
      </w:r>
    </w:p>
    <w:p>
      <w:pPr>
        <w:pStyle w:val="Title"/>
      </w:pPr>
      <w:r>
        <w:t xml:space="preserve">Análise multitemporal de imagens Landsat e avaliação de pastagens</w:t>
      </w:r>
    </w:p>
    <w:p>
      <w:pPr>
        <w:pStyle w:val="Subtitle"/>
      </w:pPr>
      <w:r>
        <w:t xml:space="preserve">Projeto Trabalho Evapo</w:t>
      </w:r>
    </w:p>
    <w:p>
      <w:pPr>
        <w:pStyle w:val="Normal"/>
      </w:pPr>
      <w:r>
        <w:t xml:space="preserve">Processamento de índices de vegetação, propriedades térmicas e componentes do balanço de radiação em área de interesse.</w:t>
      </w:r>
    </w:p>
    <w:p>
      <w:pPr>
        <w:pStyle w:val="Normal"/>
      </w:pPr>
      <w:r>
        <w:t xml:space="preserve">Período das imagens: 16/06/2025 a 30/08/2026.</w:t>
      </w:r>
    </w:p>
    <w:p>
      <w:pPr>
        <w:pStyle w:val="Normal"/>
      </w:pPr>
      <w:r>
        <w:t xml:space="preserve">Data de elaboração: 13 de outubro de 2026.</w:t>
      </w:r>
    </w:p>
    <w:p>
      <w:pPr>
        <w:pStyle w:val="Normal"/>
      </w:pPr>
      <w:r>
        <w:t xml:space="preserve">Execução de referência: 2026-10-13_09-37-39_dac3ee.</w:t>
      </w:r>
    </w:p>
    <w:p>
      <w:pPr>
        <w:pStyle w:val="Note"/>
      </w:pPr>
      <w:r>
        <w:t xml:space="preserve">Documento elaborado a partir do código do projeto, da configuração salva em RES e dos resultados de uma nova execução realizada após revisão dos cálculos, das máscaras e da reprojeção.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Normal"/>
      </w:pPr>
      <w:r>
        <w:t xml:space="preserve">O sensoriamento remoto permite caracterizar a distribuição espacial da vegetação e acompanhar diferenças entre aquisições por meio da resposta espectral e térmica da superfície. Em áreas de pastagem, índices de vegetação, albedo, temperatura e radiação oferecem informações complementares para a avaliação ambiental e o planejamento de levantamentos de campo. A interpretação exige considerar a qualidade das imagens, a escala dos sensores e o conjunto de pixels efetivamente observado em cada data.</w:t>
      </w:r>
    </w:p>
    <w:p>
      <w:pPr>
        <w:pStyle w:val="Normal"/>
      </w:pPr>
      <w:r>
        <w:t xml:space="preserve">O projeto Trabalho Evapo consiste em uma aplicação Python destinada ao processamento de cenas Landsat sobre uma área de interesse comum. O sistema integra seleção de imagens e recortes, calibração radiométrica, cálculo de produtos, consulta de pixels, estatísticas descritivas e exportação de mapas, histogramas, relatórios e animações temporais. Também incorpora camadas MapBiomas para delimitar pastagens e estratificar os resultados por classes anuais de vigor.</w:t>
      </w:r>
    </w:p>
    <w:p>
      <w:pPr>
        <w:pStyle w:val="Normal"/>
      </w:pPr>
      <w:r>
        <w:t xml:space="preserve">Este relatório documenta a metodologia implementada e analisa os resultados de cinco aquisições, entre 16/06/2025 e 30/08/2026. Os objetivos específicos são descrever os dados e os parâmetros utilizados, comparar indicadores espectrais e térmicos, examinar a estratificação por vigor e avaliar a cobertura espacial dos produtos. As conclusões têm caráter descritivo e não atribuem causalidade às diferenças entre datas.</w:t>
      </w:r>
    </w:p>
    <w:p>
      <w:pPr>
        <w:pStyle w:val="Normal"/>
      </w:pPr>
      <w:r>
        <w:t xml:space="preserve">O processamento contempla componentes necessários a estudos de balanço de energia. A estimativa final de evapotranspiração exige etapas adicionais, incluindo fluxos de calor e procedimentos de integração temporal que não compõem os produtos desta execução.</w:t>
      </w:r>
    </w:p>
    <w:p>
      <w:pPr>
        <w:pStyle w:val="Heading1"/>
      </w:pPr>
      <w:r>
        <w:t xml:space="preserve">2. Materiais e métodos</w:t>
      </w:r>
    </w:p>
    <w:p>
      <w:pPr>
        <w:pStyle w:val="Heading2"/>
      </w:pPr>
      <w:r>
        <w:t xml:space="preserve">2.1. Dados de entrada e área de estudo</w:t>
      </w:r>
    </w:p>
    <w:p>
      <w:pPr>
        <w:pStyle w:val="Normal"/>
      </w:pPr>
      <w:r>
        <w:t xml:space="preserve">A delimitação foi obtida do projeto salvo em RES. O polígono está em coordenadas geográficas WGS84, aproximadamente entre as longitudes 43,51° O e 43,34° O e as latitudes 21,69° S e 21,49° S. A seleção por centros de pixels contém 411.387 pixels de 30 m por 30 m, equivalentes a 37.024,83 ha na grade projetada. Cada pixel corresponde a 0,09 ha.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Aquisição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Satélite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Sensores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Órbita/ponto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Landsat 9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OLI-2 e TIRS-2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9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OLI-2 e TIRS-2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Note"/>
      </w:pPr>
      <w:r>
        <w:t xml:space="preserve">As datas são de aquisição, conforme os metadados MTL. As datas presentes nos nomes dos empilhamentos podem indicar o processamento do arquivo.</w:t>
      </w:r>
    </w:p>
    <w:p>
      <w:r>
        <w:br w:type="page"/>
      </w:r>
    </w:p>
    <w:p>
      <w:pPr>
        <w:pStyle w:val="Heading2"/>
      </w:pPr>
      <w:r>
        <w:t xml:space="preserve">2.2. Insumos auxiliares, implementação e controle de qualidade</w:t>
      </w:r>
    </w:p>
    <w:p>
      <w:pPr>
        <w:pStyle w:val="Normal"/>
      </w:pPr>
      <w:r>
        <w:t xml:space="preserve">Foram utilizados empilhamentos com sete bandas ópticas, banda térmica B10, máscaras QA_PIXEL e QA_RADSAT e metadados MTL de cada cena Level-1. Os coeficientes radiométricos, as constantes térmicas, a elevação solar e a distância Terra-Sol são específicos de cada aquisição. As bandas ópticas são processadas na grade de 30 m. A banda térmica tem resolução instrumental de 100 m e é reamostrada para a grade óptica, sem adquirir detalhe térmico de 30 m [1, 2].</w:t>
      </w:r>
    </w:p>
    <w:p>
      <w:pPr>
        <w:pStyle w:val="Normal"/>
      </w:pPr>
      <w:r>
        <w:t xml:space="preserve">O modelo de elevação corresponde ao arquivo recorte_srtm_s22_w044_1arc_v3_utm_wgs84.img. As camadas de cobertura e vigor são as registradas como MapBiomas Brasil, Coleção 11, ano de referência 2025. A temperatura do ar informada no projeto é 25 °C e foi aplicada a todas as datas. O SAVI exibido utiliza L = 0,5; o cálculo interno do IAF utiliza L = 0,1.</w:t>
      </w:r>
    </w:p>
    <w:p>
      <w:pPr>
        <w:pStyle w:val="Normal"/>
      </w:pPr>
      <w:r>
        <w:t xml:space="preserve">A execução utiliza Python 3.14, NumPy e Rasterio para os cálculos e o tratamento geoespacial, Matplotlib e Pillow para as figuras e animações, ReportLab para os relatórios PDF e CustomTkinter para a interface. O manifesto registra processamento OpenCL em GPU NVIDIA GeForce RTX 4060, com precisão intermediária FP64 nas operações compatíveis e produtos exportados em float32. Não foi realizado ensaio de desempenho para quantificar ganho de velocidade.</w:t>
      </w:r>
    </w:p>
    <w:p>
      <w:pPr>
        <w:pStyle w:val="Normal"/>
      </w:pPr>
      <w:r>
        <w:t xml:space="preserve">O recorte considera os centros dos pixels contidos no polígono. São excluídos preenchimento, nuvem dilatada, cirrus, nuvem e sombra, identificados pelos bits 0 a 4 de QA_PIXEL, além de oclusão de terreno em QA_RADSAT. A saturação é tratada por banda óptica, e valores digitais nulos ou NoData são descartados. Água identificada em QA pode permanecer no NDVI, mas água e neve são excluídas do IAF. A validade de cada produto resulta da combinação de suas entradas e máscaras.</w:t>
      </w:r>
    </w:p>
    <w:p>
      <w:pPr>
        <w:pStyle w:val="Heading2"/>
      </w:pPr>
      <w:r>
        <w:t xml:space="preserve">2.3. Reflectância e índices de vegetação</w:t>
      </w:r>
    </w:p>
    <w:p>
      <w:pPr>
        <w:pStyle w:val="Normal"/>
      </w:pPr>
      <w:r>
        <w:t xml:space="preserve">A reflectância utilizada nos índices é a reflectância no topo da atmosfera, denominada TOA. O procedimento segue a calibração do produto Level-1, com multiplicador Mρ, termo aditivo Aρ e elevação solar θ obtidos do MTL [1].</w:t>
      </w:r>
    </w:p>
    <w:p>
      <w:pPr>
        <w:pStyle w:val="Note"/>
      </w:pPr>
      <w:r>
        <w:t xml:space="preserve">ρTOA = (Mρ × DN + Aρ) / sen(θ)</w:t>
      </w:r>
    </w:p>
    <w:p>
      <w:pPr>
        <w:pStyle w:val="Note"/>
      </w:pPr>
      <w:r>
        <w:t xml:space="preserve">NDVI = (ρB5 − ρB4) / (ρB5 + ρB4)</w:t>
      </w:r>
    </w:p>
    <w:p>
      <w:pPr>
        <w:pStyle w:val="Note"/>
      </w:pPr>
      <w:r>
        <w:t xml:space="preserve">SAVI = (1 + L) × (ρB5 − ρB4) / (ρB5 + ρB4 + L)</w:t>
      </w:r>
    </w:p>
    <w:p>
      <w:pPr>
        <w:pStyle w:val="Normal"/>
      </w:pPr>
      <w:r>
        <w:t xml:space="preserve">O NDVI descreve o contraste entre infravermelho próximo e vermelho. O SAVI incorpora um termo de ajuste à influência do solo, sem representar correção atmosférica [3]. Os índices calculados com reflectância TOA permanecem sensíveis às condições de aquisição e da atmosfera.</w:t>
      </w:r>
    </w:p>
    <w:p>
      <w:r>
        <w:br w:type="page"/>
      </w:r>
    </w:p>
    <w:p>
      <w:pPr>
        <w:pStyle w:val="Heading2"/>
      </w:pPr>
      <w:r>
        <w:t xml:space="preserve">2.3. Reflectância e índices de vegetação, continuação</w:t>
      </w:r>
    </w:p>
    <w:p>
      <w:pPr>
        <w:pStyle w:val="Normal"/>
      </w:pPr>
      <w:r>
        <w:t xml:space="preserve">O índice de área foliar, IAF, é estimado pela relação empírica implementada a partir do SAVI interno com L = 0,1, de acordo com a parametrização adotada no projeto [6]. Essa escolha independe do L = 0,5 utilizado no SAVI apresentado ao usuário.</w:t>
      </w:r>
    </w:p>
    <w:p>
      <w:pPr>
        <w:pStyle w:val="Note"/>
      </w:pPr>
      <w:r>
        <w:t xml:space="preserve">IAF = −ln[(0,69 − SAVIIAF) / 0,59] / 0,91</w:t>
      </w:r>
    </w:p>
    <w:p>
      <w:pPr>
        <w:pStyle w:val="Normal"/>
      </w:pPr>
      <w:r>
        <w:t xml:space="preserve">O resultado é fixado em zero para SAVIIAF ≤ 0,1 e em seis para SAVIIAF ≥ 0,687, sendo limitado ao intervalo de zero a seis. A transferência dessa relação para pastagens brasileiras requer validação local. O produto de proporção de vegetação é calculado como o quadrado da razão (NDVI − 0,2)/0,3, limitada previamente entre zero e um. Esse produto é descritivo e não participa do cálculo das emissividades nesta versão.</w:t>
      </w:r>
    </w:p>
    <w:p>
      <w:pPr>
        <w:pStyle w:val="Heading2"/>
      </w:pPr>
      <w:r>
        <w:t xml:space="preserve">2.4. Albedo, temperatura e componentes de radiação</w:t>
      </w:r>
    </w:p>
    <w:p>
      <w:pPr>
        <w:pStyle w:val="Normal"/>
      </w:pPr>
      <w:r>
        <w:t xml:space="preserve">O albedo TOA combina as reflectâncias B2 a B7 pelos pesos de Silva et al. (2016), tabela 5 [4]. Os pesos são aplicados como publicados, com soma arredondada de 1,001. A banda B1 não integra a combinação. O albedo TOA é limitado entre zero e um.</w:t>
      </w:r>
    </w:p>
    <w:p>
      <w:pPr>
        <w:pStyle w:val="Note"/>
      </w:pPr>
      <w:r>
        <w:t xml:space="preserve">αTOA = 0,300ρB2 + 0,277ρB3 + 0,233ρB4 + 0,143ρB5 + 0,036ρB6 + 0,012ρB7</w:t>
      </w:r>
    </w:p>
    <w:p>
      <w:pPr>
        <w:pStyle w:val="Note"/>
      </w:pPr>
      <w:r>
        <w:t xml:space="preserve">τ = 0,75 + 0,00002z;     αs = (αTOA − 0,03) / τ²</w:t>
      </w:r>
    </w:p>
    <w:p>
      <w:pPr>
        <w:pStyle w:val="Normal"/>
      </w:pPr>
      <w:r>
        <w:t xml:space="preserve">Na expressão, z representa a altitude em metros e τ a transmissividade atmosférica estimada. O albedo de superfície é limitado entre 0,00001 e um, conforme o modelo local. Trata-se de correção atmosférica simplificada, associada à condição de céu claro. Pixels sem altitude válida permanecem sem resultado.</w:t>
      </w:r>
    </w:p>
    <w:p>
      <w:pPr>
        <w:pStyle w:val="Normal"/>
      </w:pPr>
      <w:r>
        <w:t xml:space="preserve">As emissividades espectral B10 e de banda larga são calculadas separadamente. Para terreno com NDVI positivo e IAF inferior a três, utilizam-se εB10 = 0,97 + 0,0033IAF e ε0 = 0,95 + 0,01IAF. Para IAF igual ou superior a três, ambas são 0,98. Água identificada por QA recebe 0,99 e 0,985, respectivamente; neve é excluída. Essas relações empíricas requerem avaliação local e espectral.</w:t>
      </w:r>
    </w:p>
    <w:p>
      <w:pPr>
        <w:pStyle w:val="Note"/>
      </w:pPr>
      <w:r>
        <w:t xml:space="preserve">L10 = ML × DN10 + AL;     BT = K2 / ln(K1/L10 + 1)</w:t>
      </w:r>
    </w:p>
    <w:p>
      <w:pPr>
        <w:pStyle w:val="Note"/>
      </w:pPr>
      <w:r>
        <w:t xml:space="preserve">Ts = BT / [1 + (λBT/c2) × ln(εB10)] − 273,15</w:t>
      </w:r>
    </w:p>
    <w:p>
      <w:pPr>
        <w:pStyle w:val="Normal"/>
      </w:pPr>
      <w:r>
        <w:t xml:space="preserve">BT é calculada em Kelvin. Adotam-se λ = 10,895 × 10⁻⁶ m e c2 = 1,438 × 10⁻² m K. A temperatura da superfície, Ts, é apresentada em graus Celsius após a correção por emissividade. Não se realiza correção atmosférica térmica completa, portanto o resultado deve ser tratado como estimativa [1, 7].</w:t>
      </w:r>
    </w:p>
    <w:p>
      <w:r>
        <w:br w:type="page"/>
      </w:r>
    </w:p>
    <w:p>
      <w:pPr>
        <w:pStyle w:val="Heading2"/>
      </w:pPr>
      <w:r>
        <w:t xml:space="preserve">2.4. Componentes de radiação, continuação</w:t>
      </w:r>
    </w:p>
    <w:p>
      <w:pPr>
        <w:pStyle w:val="Normal"/>
      </w:pPr>
      <w:r>
        <w:t xml:space="preserve">A distância Terra-Sol d, em unidades astronômicas, é obtida prioritariamente do MTL. O fator dr = 1/d² é aplicado à irradiância e não é reaplicado à reflectância calibrada. A planilha solar fornecida com o projeto permite conferir a distância por dia do ano. As equações radiativas utilizam a constante de Stefan-Boltzmann σ = 5,67 × 10⁻⁸ W m⁻² K⁻⁴ e temperatura do ar Ta = 298,15 K.</w:t>
      </w:r>
    </w:p>
    <w:p>
      <w:pPr>
        <w:pStyle w:val="Note"/>
      </w:pPr>
      <w:r>
        <w:t xml:space="preserve">Rs↓ = 1367 × sen(θ) × dr × τ</w:t>
      </w:r>
    </w:p>
    <w:p>
      <w:pPr>
        <w:pStyle w:val="Note"/>
      </w:pPr>
      <w:r>
        <w:t xml:space="preserve">εatm = 0,85 × [−ln(τ)]^(0,09)</w:t>
      </w:r>
    </w:p>
    <w:p>
      <w:pPr>
        <w:pStyle w:val="Note"/>
      </w:pPr>
      <w:r>
        <w:t xml:space="preserve">Rl↓ = εatm × σ × Ta⁴;     Rl↑ = ε0 × σ × (Ts + 273,15)⁴</w:t>
      </w:r>
    </w:p>
    <w:p>
      <w:pPr>
        <w:pStyle w:val="Note"/>
      </w:pPr>
      <w:r>
        <w:t xml:space="preserve">Rn = (1 − αs)Rs↓ + Rl↓ − Rl↑ − (1 − ε0)Rl↓</w:t>
      </w:r>
    </w:p>
    <w:p>
      <w:pPr>
        <w:pStyle w:val="Normal"/>
      </w:pPr>
      <w:r>
        <w:t xml:space="preserve">Rs↓ representa a radiação de onda curta incidente; Rl↓ e Rl↑ representam a onda longa incidente e emitida; Rn é o saldo de radiação. Todos esses produtos são instantâneos, expressos em W/m². A temperatura do ar fixa constitui parâmetro de entrada e não uma medição meteorológica específica de cada aquisição.</w:t>
      </w:r>
    </w:p>
    <w:p>
      <w:pPr>
        <w:pStyle w:val="Heading2"/>
      </w:pPr>
      <w:r>
        <w:t xml:space="preserve">2.5. Análise de pastagens e estatísticas</w:t>
      </w:r>
    </w:p>
    <w:p>
      <w:pPr>
        <w:pStyle w:val="Normal"/>
      </w:pPr>
      <w:r>
        <w:t xml:space="preserve">As pastagens são delimitadas pelo código 15 da camada de cobertura. A camada anual de vigor fornece as classes baixo, moderado e alto, registradas como códigos 1, 2 e 3. O produto MapBiomas é uma classificação anual e não é recalculado a partir do NDVI de cada cena [5]. A mesma referência de 2025 foi aplicada também às imagens de 2026. As camadas categóricas são alinhadas por vizinho mais próximo.</w:t>
      </w:r>
    </w:p>
    <w:p>
      <w:pPr>
        <w:pStyle w:val="Normal"/>
      </w:pPr>
      <w:r>
        <w:t xml:space="preserve">As estatísticas são calculadas na resolução nativa, sobre pixels finitos de cada produto, para a ROI e para a interseção entre ROI, pastagem e classe de vigor. São utilizados média, desvio padrão populacional, variância, mínimo, máximo, mediana e percentis. Os percentis representam a distribuição espacial dos pixels; não constituem intervalos de confiança. A área válida é obtida multiplicando o número de pixels válidos por 0,09 ha.</w:t>
      </w:r>
    </w:p>
    <w:p>
      <w:pPr>
        <w:pStyle w:val="Normal"/>
      </w:pPr>
      <w:r>
        <w:t xml:space="preserve">A cobertura percentual corresponde ao número de pixels válidos dividido pelo total de pixels da área ou da classe em análise. Portanto, esse percentual mede disponibilidade de observações, e não cobertura vegetal. As estatísticas da ROI foram extraídas de estatisticas_todas_cenas_roi.csv; a análise por classe utiliza estatisticas_por_vigor.csv. Os mapas completos existentes na pasta pastagens não devem ser interpretados automaticamente como mapas mascarados apenas às pastagens.</w:t>
      </w:r>
    </w:p>
    <w:p>
      <w:pPr>
        <w:pStyle w:val="Heading2"/>
      </w:pPr>
      <w:r>
        <w:t xml:space="preserve">2.6. Revisão do código antes da reexecução</w:t>
      </w:r>
    </w:p>
    <w:p>
      <w:pPr>
        <w:pStyle w:val="Normal"/>
      </w:pPr>
      <w:r>
        <w:t xml:space="preserve">Antes do processamento, foram conferidos índices, emissividades, radiações, leitura de rasters, máscaras e integração CPU/GPU. Os 38 testes executados nas rotinas correspondentes passaram. Para o MDE, a leitura WarpedVRT foi comparada com reproject e com um controle geométrico independente. As máscaras coincidiram e a diferença máxima de altitude foi zero. Essa verificação não identificou falha de reprojeção capaz de explicar a ausência de resultados no norte da ROI.</w:t>
      </w:r>
    </w:p>
    <w:p>
      <w:r>
        <w:br w:type="page"/>
      </w:r>
    </w:p>
    <w:p>
      <w:pPr>
        <w:pStyle w:val="Heading1"/>
      </w:pPr>
      <w:r>
        <w:t xml:space="preserve">3. Resultados</w:t>
      </w:r>
    </w:p>
    <w:p>
      <w:pPr>
        <w:pStyle w:val="Heading2"/>
      </w:pPr>
      <w:r>
        <w:t xml:space="preserve">3.1. Produtos gerados e síntese da área total</w:t>
      </w:r>
    </w:p>
    <w:p>
      <w:pPr>
        <w:pStyle w:val="Normal"/>
      </w:pPr>
      <w:r>
        <w:t xml:space="preserve">A reexecução gerou 17 produtos por data, totalizando 85 combinações de data e produto na análise geral. A análise de pastagens contém 255 combinações de data, produto e classe de vigor. Foram exportados rasters numéricos, tabelas CSV, mapas, histogramas, relatórios PDF e HTML e animações temporais da análise geral. O projeto salvo recebeu a referência à nova execução.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50"/>
        <w:gridCol w:w="1550"/>
        <w:gridCol w:w="1550"/>
        <w:gridCol w:w="1550"/>
        <w:gridCol w:w="1550"/>
        <w:gridCol w:w="1548"/>
      </w:tblGrid>
      <w:tr>
        <w:trPr>
          <w:cantSplit/>
          <w:tblHeader/>
        </w:trPr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NDVI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SAVI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IAF (m²/m²)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Ts (°C)</w:t>
            </w:r>
          </w:p>
        </w:tc>
        <w:tc>
          <w:tcPr>
            <w:tcW w:w="154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Rn (W/m²)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0,358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1,650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19,90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440,99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0,533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0,330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1,212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20,50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434,50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0,429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2,372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28,78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678,07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0,522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0,297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1,098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25,01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446,71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0,481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0,274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0,861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25,56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538,61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1. Médias da ROI, calculadas separadamente sobre os pixels válidos de cada produto.</w:t>
      </w:r>
    </w:p>
    <w:p>
      <w:pPr>
        <w:pStyle w:val="Normal"/>
      </w:pPr>
      <w:r>
        <w:t xml:space="preserve">O maior NDVI médio ocorreu em 25/12/2025, com 0,647, e o menor em 30/08/2026, com 0,481. Entre a primeira e a última aquisição, a média passou de 0,607 para 0,481, diferença de -0,127. Essa comparação descreve as observações disponíveis e não representa uma tendência contínua ao longo de todo o período.</w:t>
      </w:r>
    </w:p>
    <w:p>
      <w:pPr>
        <w:pStyle w:val="Normal"/>
      </w:pPr>
      <w:r>
        <w:t xml:space="preserve">O SAVI médio variou entre 0,274 e 0,429. O IAF médio variou entre 0,861 e 2,372 m²/m². A concordância qualitativa entre os índices é esperada, pois eles compartilham as bandas vermelho e infravermelho próximo; não constitui validação independente da estimativa de área foliar.</w:t>
      </w:r>
    </w:p>
    <w:p>
      <w:pPr>
        <w:pStyle w:val="Normal"/>
      </w:pPr>
      <w:r>
        <w:t xml:space="preserve">Em 18/07/2025, a cobertura válida foi menor que nas demais aquisições. Assim, parte da diferença nas médias pode refletir o conjunto espacial de pixels que permaneceu após as máscaras. Para estabelecer mudanças quantitativas entre datas, recomenda-se comparar também uma interseção comum de pixels válidos.</w:t>
      </w:r>
    </w:p>
    <w:p>
      <w:pPr>
        <w:pStyle w:val="Heading2"/>
      </w:pPr>
      <w:r>
        <w:t xml:space="preserve">3.2. Distribuição espacial do NDVI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2447163"/>
            <wp:effectExtent l="0" t="0" r="0" b="0"/>
            <wp:docPr id="1" name="Figura 1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NDVI da ROI em três aquisições, com a mesma escala de cores. Áreas sem observação válida são apresentadas em cinza.</w:t>
      </w:r>
    </w:p>
    <w:p>
      <w:r>
        <w:br w:type="page"/>
      </w:r>
    </w:p>
    <w:p>
      <w:pPr>
        <w:pStyle w:val="Heading2"/>
      </w:pPr>
      <w:r>
        <w:t xml:space="preserve">3.3. Estratificação das pastagens por vigor</w:t>
      </w:r>
    </w:p>
    <w:p>
      <w:pPr>
        <w:pStyle w:val="Normal"/>
      </w:pPr>
      <w:r>
        <w:t xml:space="preserve">A camada de referência identifica 253.187 pixels de pastagem, equivalentes a 22.786,83 ha e 61,54% da ROI. A composição por vigor é constante entre datas, pois a classificação anual de 2025 permanece fixa. Foram registrados dois pixels de pastagem sem classe de vigor, correspondentes a 0,18 ha.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Vigor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Pixels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Área (ha)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% da pastagem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Baixo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50.556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4.550,04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19,97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Moderado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152.236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13.701,24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60,13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Alto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50.393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4.535,37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19,90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Sem classe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0,18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0,0008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2. Área de pastagem por classe anual de vigor. Percentuais calculados sobre toda a pastagem identificada.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508000" cy="3010186"/>
            <wp:effectExtent l="0" t="0" r="0" b="0"/>
            <wp:docPr id="2" name="Figura 2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2. Classes de vigor de 2025 e disponibilidade de transmissividade na primeira aquisição. Eixos expressam distâncias relativas na grade; a porção superior corresponde ao norte.</w:t>
      </w:r>
    </w:p>
    <w:p>
      <w:pPr>
        <w:pStyle w:val="Normal"/>
      </w:pPr>
      <w:r>
        <w:t xml:space="preserve">A distribuição do vigor deve ser interpretada em conjunto com a cobertura do MDE. As classes não possuem a mesma proporção de área com altitude disponível. Isso limita comparações de produtos radiativos que dependem do relevo e impede estender suas médias a toda a área de cada classe.</w:t>
      </w:r>
    </w:p>
    <w:p>
      <w:r>
        <w:br w:type="page"/>
      </w:r>
    </w:p>
    <w:p>
      <w:pPr>
        <w:pStyle w:val="Heading2"/>
      </w:pPr>
      <w:r>
        <w:t xml:space="preserve">3.3. Indicadores espectrais por classe de vigor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Baixo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Moderado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Alto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0,558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0,600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0,647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0,464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0,507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0,564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0,600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0,640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0,669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0,444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0,501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0,559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0,412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0,457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0,504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3. NDVI médio por classe anual de vigor de pastagem.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3968372"/>
            <wp:effectExtent l="0" t="0" r="0" b="0"/>
            <wp:docPr id="3" name="Figura 3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3. Médias de NDVI e SAVI na ROI e nas classes de vigor. O eixo apresenta apenas as datas analisadas; as linhas conectam observações e não representam interpolação temporal.</w:t>
      </w:r>
    </w:p>
    <w:p>
      <w:pPr>
        <w:pStyle w:val="Normal"/>
      </w:pPr>
      <w:r>
        <w:t xml:space="preserve">Em todas as aquisições, o NDVI médio apresentou a ordenação baixo, moderado e alto. Esse comportamento é compatível com diferenças no sinal espectral da vegetação entre os estratos anuais, mas não comprova a condição instantânea de manejo ou a produtividade das pastagens.</w:t>
      </w:r>
    </w:p>
    <w:p>
      <w:pPr>
        <w:pStyle w:val="Normal"/>
      </w:pPr>
      <w:r>
        <w:t xml:space="preserve">Sazonalidade, manejo, condições atmosféricas e participação do solo no pixel são hipóteses possíveis para as diferenças observadas. Os arquivos analisados não incluem medições de campo ou séries meteorológicas que permitam separar quantitativamente essas contribuições.</w:t>
      </w:r>
    </w:p>
    <w:p>
      <w:r>
        <w:br w:type="page"/>
      </w:r>
    </w:p>
    <w:p>
      <w:pPr>
        <w:pStyle w:val="Heading2"/>
      </w:pPr>
      <w:r>
        <w:t xml:space="preserve">3.4. Temperatura e componentes do balanço de radiação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60"/>
        <w:gridCol w:w="1860"/>
        <w:gridCol w:w="1860"/>
        <w:gridCol w:w="1860"/>
        <w:gridCol w:w="1858"/>
      </w:tblGrid>
      <w:tr>
        <w:trPr>
          <w:cantSplit/>
          <w:tblHeader/>
        </w:trPr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α superfície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Rs↓ (W/m²)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Rl↑ (W/m²)</w:t>
            </w:r>
          </w:p>
        </w:tc>
        <w:tc>
          <w:tcPr>
            <w:tcW w:w="185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Rl↓ (W/m²)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0,132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596,86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403,67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0,161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614,03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405,71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338,19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0,157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955,87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457,07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0,133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638,68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430,65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0,142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754,48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432,87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4. Médias dos componentes radiativos. Cada coluna utiliza sua própria máscara de validade.</w:t>
      </w:r>
    </w:p>
    <w:p>
      <w:pPr>
        <w:pStyle w:val="Normal"/>
      </w:pPr>
      <w:r>
        <w:t xml:space="preserve">A temperatura média estimada da superfície variou de 19,90 °C, em 16/06/2025, a 28,78 °C, em 25/12/2025. O maior saldo médio de radiação ocorreu em 25/12/2025, com 678,07 W/m². A temperatura da superfície é obtida independentemente do MDE nesta implementação, enquanto o saldo de radiação depende da altitude e representa uma parcela menor da ROI.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1984186"/>
            <wp:effectExtent l="0" t="0" r="0" b="0"/>
            <wp:docPr id="4" name="Figura 4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4. Médias de temperatura da superfície e saldo de radiação nas datas disponíveis. Os dois produtos possuem suportes espaciais distintos.</w:t>
      </w:r>
    </w:p>
    <w:p>
      <w:pPr>
        <w:pStyle w:val="Normal"/>
      </w:pPr>
      <w:r>
        <w:t xml:space="preserve">A variação da onda curta incidente resulta, em parte, da elevação solar, da distância Terra-Sol e da transmissividade adotadas para cada cena. A onda longa incidente utiliza a mesma temperatura do ar de 25 °C em todas as datas. Dessa forma, diferenças entre aquisições combinam as condições de entrada e a resposta dos pixels válidos, sem permitir atribuição isolada ao vigor da pastagem.</w:t>
      </w:r>
    </w:p>
    <w:p>
      <w:pPr>
        <w:pStyle w:val="Normal"/>
      </w:pPr>
      <w:r>
        <w:t xml:space="preserve">O balanço deve ser verificado pixel a pixel. Não se deve exigir fechamento por substituição direta das médias da tabela nas equações, pois os termos podem ter máscaras distintas e as médias dos produtos de variáveis não equivalem aos produtos de suas médias.</w:t>
      </w:r>
    </w:p>
    <w:p>
      <w:r>
        <w:br w:type="page"/>
      </w:r>
    </w:p>
    <w:p>
      <w:pPr>
        <w:pStyle w:val="Heading2"/>
      </w:pPr>
      <w:r>
        <w:t xml:space="preserve">3.5. Cobertura válida e efeito da extensão do MDE</w:t>
      </w:r>
    </w:p>
    <w:p>
      <w:pPr>
        <w:pStyle w:val="Normal"/>
      </w:pPr>
      <w:r>
        <w:t xml:space="preserve">A auditoria identificou altitude disponível em 207.116 pixels da ROI, equivalentes a 18.640,44 ha e 50,35% da área. Esse limite precede as máscaras de nuvem e qualidade. O recorte de elevação alcança a parte sul da ROI; a parte norte está fora de sua extensão.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60"/>
        <w:gridCol w:w="1860"/>
        <w:gridCol w:w="1860"/>
        <w:gridCol w:w="1860"/>
        <w:gridCol w:w="1858"/>
      </w:tblGrid>
      <w:tr>
        <w:trPr>
          <w:cantSplit/>
          <w:tblHeader/>
        </w:trPr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NDVI (%)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Ts (%)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α superfície (%)</w:t>
            </w:r>
          </w:p>
        </w:tc>
        <w:tc>
          <w:tcPr>
            <w:tcW w:w="185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Rn (%)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99,88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99,87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50,22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50,22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67,81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67,81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30,74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30,74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99,98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50,33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100,00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100,00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5. Cobertura válida por produto, relativa ao total de 411.387 pixels da ROI.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2182605"/>
            <wp:effectExtent l="0" t="0" r="0" b="0"/>
            <wp:docPr id="5" name="Figura 5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5. Disponibilidade espacial de três produtos. A linha pontilhada indica o limite físico de cobertura do MDE na ROI, antes das demais máscaras.</w:t>
      </w:r>
    </w:p>
    <w:p>
      <w:pPr>
        <w:pStyle w:val="Normal"/>
      </w:pPr>
      <w:r>
        <w:t xml:space="preserve">Antes dos filtros QA, o MDE abrange 78,47% da classe de baixo vigor, 44,80% da classe moderada e 15,94% da classe de alto vigor. A cobertura desigual decorre da posição espacial dessas classes. As médias de albedo de superfície e radiação em alto vigor, por exemplo, descrevem apenas a pequena parcela da classe com altitude disponível.</w:t>
      </w:r>
    </w:p>
    <w:p>
      <w:pPr>
        <w:pStyle w:val="Normal"/>
      </w:pPr>
      <w:r>
        <w:t xml:space="preserve">Os dados do MDE existente são válidos dentro de sua extensão. A limitação não foi produzida por falha de reprojeção ou conversão entre os sistemas de coordenadas examinados. A grade Landsat registra EPSG:32623 com coordenadas norte negativas, e o MDE registra EPSG:32723; a comparação independente confirmou o alinhamento físico adotado. Para ampliar a cobertura, é necessário um MDE com extensão suficiente, seguido de novo processamento.</w:t>
      </w:r>
    </w:p>
    <w:p>
      <w:r>
        <w:br w:type="page"/>
      </w:r>
    </w:p>
    <w:p>
      <w:pPr>
        <w:pStyle w:val="Heading2"/>
      </w:pPr>
      <w:r>
        <w:t xml:space="preserve">3.6. Síntese dos demais produtos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50"/>
        <w:gridCol w:w="1550"/>
        <w:gridCol w:w="1550"/>
        <w:gridCol w:w="1550"/>
        <w:gridCol w:w="1550"/>
        <w:gridCol w:w="1548"/>
      </w:tblGrid>
      <w:tr>
        <w:trPr>
          <w:cantSplit/>
          <w:tblHeader/>
        </w:trPr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Produto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16/06/25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18/07/25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25/12/25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29/07/26</w:t>
            </w:r>
          </w:p>
        </w:tc>
        <w:tc>
          <w:tcPr>
            <w:tcW w:w="154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30/08/26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Albedo TOA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0,109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0,124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0,123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0,110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0,115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Proporção de vegetação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0,942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0,859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0,958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0,806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0,723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Emissividade B10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0,9751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0,9740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0,9767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0,9736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0,9730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Emissividade de banda larga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0,9652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0,9618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0,9699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0,9608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0,9588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Radiância B10¹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8,418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8,490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9,642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9,116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9,184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Temperatura de brilho (K)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291,41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291,93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300,31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296,37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296,87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Transmissividade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Emissividade atmosférica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6. Médias de produtos complementares da ROI. Grandezas sem unidade explícita são adimensionais. ¹ Radiância em W/(m² sr µm).</w:t>
      </w:r>
    </w:p>
    <w:p>
      <w:pPr>
        <w:pStyle w:val="Normal"/>
      </w:pPr>
      <w:r>
        <w:t xml:space="preserve">A proporção de vegetação é um índice empírico derivado do NDVI e limitado numericamente entre zero e um. As emissividades derivam do IAF e das regras específicas para água e neve. Por compartilharem entradas e relações matemáticas, esses produtos não constituem observações independentes entre si.</w:t>
      </w:r>
    </w:p>
    <w:p>
      <w:pPr>
        <w:pStyle w:val="Normal"/>
      </w:pPr>
      <w:r>
        <w:t xml:space="preserve">A transmissividade e a emissividade atmosférica refletem principalmente a parametrização com altitude. Mesmo quando suas médias diferem pouco entre datas, a cobertura válida pode mudar com as máscaras de qualidade. A permanência de uma média semelhante não comprova estabilidade das condições atmosféricas reais.</w:t>
      </w:r>
    </w:p>
    <w:p>
      <w:pPr>
        <w:pStyle w:val="Heading2"/>
      </w:pPr>
      <w:r>
        <w:t xml:space="preserve">3.7. Limitações e alcance da interpretação</w:t>
      </w:r>
    </w:p>
    <w:p>
      <w:pPr>
        <w:pStyle w:val="Normal"/>
      </w:pPr>
      <w:r>
        <w:t xml:space="preserve">A série possui somente cinco aquisições, com intervalos desiguais e duas plataformas orbitais. As comparações utilizam reflectância TOA e não incorporam normalização atmosférica completa entre cenas. A parametrização do albedo foi proposta para OLI/Landsat 8 e aplicada também a OLI-2/Landsat 9 nesta implementação, sem avaliação independente de equivalência no presente estudo.</w:t>
      </w:r>
    </w:p>
    <w:p>
      <w:pPr>
        <w:pStyle w:val="Normal"/>
      </w:pPr>
      <w:r>
        <w:t xml:space="preserve">A referência de vigor de 2025 não permite afirmar mudança de classe entre 2025 e 2026. O IAF e as emissividades utilizam relações empíricas cuja aplicação local ainda precisa ser validada. A temperatura de superfície não equivale a uma medição de campo nem ao produto oficial de temperatura Level-2. As radiações são estimativas instantâneas de céu claro e não totais diários de energia.</w:t>
      </w:r>
    </w:p>
    <w:p>
      <w:pPr>
        <w:pStyle w:val="Normal"/>
      </w:pPr>
      <w:r>
        <w:t xml:space="preserve">O conjunto processado permite descrever padrões espaciais e diferenças observadas. A atribuição de degradação, recuperação, estresse hídrico, produtividade ou consumo de água exigiria informações complementares e um desenho de validação apropriado.</w:t>
      </w:r>
    </w:p>
    <w:p>
      <w:r>
        <w:br w:type="page"/>
      </w:r>
    </w:p>
    <w:p>
      <w:pPr>
        <w:pStyle w:val="Heading1"/>
      </w:pPr>
      <w:r>
        <w:t xml:space="preserve">4. Conclusão</w:t>
      </w:r>
    </w:p>
    <w:p>
      <w:pPr>
        <w:pStyle w:val="Normal"/>
      </w:pPr>
      <w:r>
        <w:t xml:space="preserve">O projeto Trabalho Evapo integrou o processamento de imagens Landsat, índices de vegetação, propriedades térmicas, componentes de radiação e estratificação de pastagens em um fluxo reproduzível. A revisão prévia do código, os testes automatizados e a comparação independente da reprojeção do MDE não identificaram falha responsável pelas lacunas espaciais examinadas. A nova execução foi concluída com os parâmetros do projeto salvo.</w:t>
      </w:r>
    </w:p>
    <w:p>
      <w:pPr>
        <w:pStyle w:val="Normal"/>
      </w:pPr>
      <w:r>
        <w:t xml:space="preserve">Na área de 37.024,83 ha, as pastagens de referência ocupam 22.786,83 ha. A classe moderada é predominante, com 13.701,24 ha e 60,13% da área de pastagem. Os indicadores espectrais apresentam diferenças entre datas e entre estratos de vigor, cujo significado deve ser limitado às observações e às condições de processamento disponíveis.</w:t>
      </w:r>
    </w:p>
    <w:p>
      <w:pPr>
        <w:pStyle w:val="Normal"/>
      </w:pPr>
      <w:r>
        <w:t xml:space="preserve">O NDVI médio da ROI atingiu seu maior valor em 25/12/2025, enquanto o maior saldo médio de radiação foi observado em 25/12/2025. Esses resultados não estabelecem uma relação causal entre vegetação e energia, porque os produtos utilizam entradas, máscaras e suportes espaciais distintos.</w:t>
      </w:r>
    </w:p>
    <w:p>
      <w:pPr>
        <w:pStyle w:val="Normal"/>
      </w:pPr>
      <w:r>
        <w:t xml:space="preserve">A principal restrição espacial dos produtos dependentes de altitude é a extensão do MDE, que cobre aproximadamente metade da ROI e proporções muito diferentes das classes de vigor. A estimativa quantitativa de albedo e radiação para toda a área requer ampliar o modelo de elevação. Para fortalecer a análise temporal, recomenda-se utilizar máscaras comuns entre datas, temperatura do ar correspondente às aquisições e validação com dados de campo.</w:t>
      </w:r>
    </w:p>
    <w:p>
      <w:pPr>
        <w:pStyle w:val="Normal"/>
      </w:pPr>
      <w:r>
        <w:t xml:space="preserve">Os resultados constituem uma base técnica para caracterização espectral, térmica e radiativa da área e para orientar verificações posteriores. A estimativa de evapotranspiração permanece como etapa adicional de desenvolvimento, condicionada à implementação e validação dos demais componentes do balanço de energia.</w:t>
      </w:r>
    </w:p>
    <w:p>
      <w:pPr>
        <w:pStyle w:val="Heading2"/>
      </w:pPr>
      <w:r>
        <w:t xml:space="preserve">Rastreabilidade dos arquivos</w:t>
      </w:r>
    </w:p>
    <w:p>
      <w:pPr>
        <w:pStyle w:val="Normal"/>
      </w:pPr>
      <w:r>
        <w:t xml:space="preserve">Pasta da execução: RES/execucoes/2026-10-13_09-37-39_dac3ee. As subpastas roi e pastagens contêm os dados numéricos e as exportações. O arquivo configuracao.evapo.json registra os parâmetros utilizados, e processamento.log documenta o processamento. A nova execução também está referenciada no projeto salvo em RES.</w:t>
      </w:r>
    </w:p>
    <w:p>
      <w:pPr>
        <w:pStyle w:val="Normal"/>
      </w:pPr>
      <w:r>
        <w:t xml:space="preserve">Fontes locais principais: README.md; src/evapo/calculos/indices.py, albedo.py, reflectancia.py e energia.py; src/evapo/analises/processamento.py e pastagens.py; manifestos e CSVs da execução. A auditoria de alinhamento está registrada em auditoria_mde.json, produzida antes da reexecução.</w:t>
      </w:r>
    </w:p>
    <w:p>
      <w:r>
        <w:br w:type="page"/>
      </w:r>
    </w:p>
    <w:p>
      <w:pPr>
        <w:pStyle w:val="Heading2"/>
      </w:pPr>
      <w:r>
        <w:t xml:space="preserve">Referências</w:t>
      </w:r>
    </w:p>
    <w:p>
      <w:pPr>
        <w:pStyle w:val="Normal"/>
      </w:pPr>
      <w:r>
        <w:t xml:space="preserve">[1] USGS. Using the USGS Landsat Level-1 Data Product. Calibração de radiância, reflectância TOA e temperatura de brilho. https://www.usgs.gov/landsat-missions/using-usgs-landsat-level-1-data-product</w:t>
      </w:r>
    </w:p>
    <w:p>
      <w:pPr>
        <w:pStyle w:val="Normal"/>
      </w:pPr>
      <w:r>
        <w:t xml:space="preserve">[2] USGS. What are the band designations for the Landsat satellites? Resoluções das bandas ópticas e térmicas. https://www.usgs.gov/faqs/what-are-band-designations-landsat-satellites</w:t>
      </w:r>
    </w:p>
    <w:p>
      <w:pPr>
        <w:pStyle w:val="Normal"/>
      </w:pPr>
      <w:r>
        <w:t xml:space="preserve">[3] HUETE, A. R. A soil-adjusted vegetation index (SAVI). Remote Sensing of Environment, v. 25, n. 3, p. 295 a 309, 1988. DOI: 10.1016/0034-4257(88)90106-X. Formulação consultada também em USGS: https://www.usgs.gov/landsat-missions/landsat-soil-adjusted-vegetation-index</w:t>
      </w:r>
    </w:p>
    <w:p>
      <w:pPr>
        <w:pStyle w:val="Normal"/>
      </w:pPr>
      <w:r>
        <w:t xml:space="preserve">[4] SILVA, B. B. da et al. Procedures for calculation of the albedo with OLI-Landsat 8 images: Application to the Brazilian semi-arid. Revista Brasileira de Engenharia Agrícola e Ambiental, v. 20, n. 1, p. 3 a 8, 2016. Tabela 5. https://doi.org/10.1590/1807-1929/agriambi.v20n1p3-8</w:t>
      </w:r>
    </w:p>
    <w:p>
      <w:pPr>
        <w:pStyle w:val="Normal"/>
      </w:pPr>
      <w:r>
        <w:t xml:space="preserve">[5] MAPBIOMAS BRASIL. Condição de vigor da pastagem. Classificação e referência anual. https://brasil.mapbiomas.org/iniciativas-e-produtos/cobertura-e-uso-da-terra/pastagem/condicao-de-vigor/</w:t>
      </w:r>
    </w:p>
    <w:p>
      <w:pPr>
        <w:pStyle w:val="Normal"/>
      </w:pPr>
      <w:r>
        <w:t xml:space="preserve">[6] WATERS, R.; ALLEN, R.; BASTIAANSSEN, W.; TASUMI, M.; TREZZA, R. SEBAL: Surface Energy Balance Algorithms for Land. Advanced Training and Users Manual, versão 1.0, 2002. Referência metodológica registrada no projeto. https://posmet.ufv.br/wp-content/uploads/2017/04/MET-479-Waters-et-al-SEBAL.pdf</w:t>
      </w:r>
    </w:p>
    <w:p>
      <w:pPr>
        <w:pStyle w:val="Normal"/>
      </w:pPr>
      <w:r>
        <w:t xml:space="preserve">[7] ISAYA NDOSSI, M.; AVDAN, U. Application of Open Source Coding Technologies in the Production of Land Surface Temperature (LST) Maps from Landsat: A PyQGIS Plugin. Remote Sensing, v. 8, n. 5, artigo 413, 2016. https://doi.org/10.3390/rs8050413</w:t>
      </w:r>
    </w:p>
    <w:p>
      <w:pPr>
        <w:pStyle w:val="Normal"/>
      </w:pPr>
      <w:r>
        <w:t xml:space="preserve">[8] TRABALHO EVAPO. Código-fonte, documentação e projeto salvo, versão de software 0.1.0, metodologia 2. Execução de 13/10/2026. Fontes locais descritas na seção de rastreabilidade.</w:t>
      </w:r>
    </w:p>
    <w:p>
      <w:pPr>
        <w:pStyle w:val="Note"/>
      </w:pPr>
      <w:r>
        <w:t xml:space="preserve">As fontes institucionais e os artigos identificam os fundamentos metodológicos. Os valores apresentados neste relatório foram obtidos exclusivamente dos arquivos numéricos da nova execução.</w:t>
      </w:r>
    </w:p>
    <w:sectPr>
      <w:headerReference w:type="default" r:id="rId3"/>
      <w:footerReference w:type="default" r:id="rId4"/>
      <w:pgSz w:w="11906" w:h="16838"/>
      <w:pgMar w:top="1304" w:right="1304" w:bottom="1304" w:left="1304" w:header="600" w:footer="600" w:gutter="0"/>
      <w:cols w:space="708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4D9CE"/>
      </w:pBdr>
    </w:pPr>
    <w:r>
      <w:t xml:space="preserve">EVAPO  |  Relatório técnico</w:t>
    </w:r>
  </w:p>
</w:hdr>
</file>

<file path=word/settings.xml><?xml version="1.0" encoding="utf-8"?>
<w:settings xmlns:w="http://schemas.openxmlformats.org/wordprocessingml/2006/main">
  <w:zoom w:percent="100"/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24332C"/>
        <w:sz w:val="24"/>
        <w:szCs w:val="24"/>
        <w:lang w:val="pt-BR" w:eastAsia="pt-BR" w:bidi="pt-BR"/>
      </w:rPr>
    </w:rPrDefault>
    <w:pPrDefault>
      <w:pPr>
        <w:widowControl/>
        <w:spacing w:after="140" w:line="276" w:lineRule="auto"/>
        <w:jc w:val="both"/>
      </w:pPr>
    </w:pPrDefault>
  </w:docDefaults>
  <w:style w:type="paragraph" w:styleId="Normal" w:default="1">
    <w:name w:val="Normal"/>
    <w:next w:val="Normal"/>
    <w:qFormat/>
    <w:pPr>
      <w:spacing w:before="0" w:after="140" w:line="276" w:lineRule="auto"/>
      <w:jc w:val="both"/>
    </w:pPr>
    <w:rPr>
      <w:sz w:val="24"/>
      <w:szCs w:val="24"/>
      <w:lang w:val="pt-BR"/>
    </w:rPr>
  </w:style>
  <w:style w:type="paragraph" w:styleId="Title">
    <w:name w:val="Título"/>
    <w:basedOn w:val="Normal"/>
    <w:next w:val="Normal"/>
    <w:qFormat/>
    <w:pPr>
      <w:keepNext/>
      <w:keepLines/>
      <w:spacing w:before="200" w:after="260" w:line="240" w:lineRule="auto"/>
      <w:jc w:val="center"/>
    </w:pPr>
    <w:rPr>
      <w:b/>
      <w:color w:val="164A3E"/>
      <w:sz w:val="52"/>
      <w:szCs w:val="52"/>
      <w:lang w:val="pt-BR"/>
    </w:rPr>
  </w:style>
  <w:style w:type="paragraph" w:styleId="Subtitle">
    <w:name w:val="Subtítulo"/>
    <w:basedOn w:val="Normal"/>
    <w:next w:val="Normal"/>
    <w:qFormat/>
    <w:pPr>
      <w:keepNext/>
      <w:keepLines/>
      <w:spacing w:before="0" w:after="220" w:line="240" w:lineRule="auto"/>
      <w:jc w:val="center"/>
    </w:pPr>
    <w:rPr>
      <w:color w:val="5C6C65"/>
      <w:sz w:val="28"/>
      <w:szCs w:val="28"/>
      <w:lang w:val="pt-BR"/>
    </w:rPr>
  </w:style>
  <w:style w:type="paragraph" w:styleId="Heading1">
    <w:name w:val="Título 1"/>
    <w:basedOn w:val="Normal"/>
    <w:next w:val="Normal"/>
    <w:qFormat/>
    <w:pPr>
      <w:keepNext/>
      <w:keepLines/>
      <w:spacing w:before="320" w:after="140" w:line="240" w:lineRule="auto"/>
      <w:jc w:val="left"/>
      <w:outlineLvl w:val="0"/>
    </w:pPr>
    <w:rPr>
      <w:b/>
      <w:color w:val="176B56"/>
      <w:sz w:val="32"/>
      <w:szCs w:val="32"/>
      <w:lang w:val="pt-BR"/>
    </w:rPr>
  </w:style>
  <w:style w:type="paragraph" w:styleId="Heading2">
    <w:name w:val="Título 2"/>
    <w:basedOn w:val="Normal"/>
    <w:next w:val="Normal"/>
    <w:qFormat/>
    <w:pPr>
      <w:keepNext/>
      <w:keepLines/>
      <w:spacing w:before="240" w:after="100" w:line="240" w:lineRule="auto"/>
      <w:jc w:val="left"/>
      <w:outlineLvl w:val="1"/>
    </w:pPr>
    <w:rPr>
      <w:b/>
      <w:color w:val="176B56"/>
      <w:sz w:val="27"/>
      <w:szCs w:val="27"/>
      <w:lang w:val="pt-BR"/>
    </w:rPr>
  </w:style>
  <w:style w:type="paragraph" w:styleId="Caption">
    <w:name w:val="Legenda"/>
    <w:basedOn w:val="Normal"/>
    <w:next w:val="Normal"/>
    <w:qFormat/>
    <w:pPr>
      <w:spacing w:before="60" w:after="180" w:line="240" w:lineRule="auto"/>
      <w:jc w:val="center"/>
    </w:pPr>
    <w:rPr>
      <w:i/>
      <w:color w:val="5C6C65"/>
      <w:sz w:val="20"/>
      <w:szCs w:val="20"/>
      <w:lang w:val="pt-BR"/>
    </w:rPr>
  </w:style>
  <w:style w:type="paragraph" w:styleId="Note">
    <w:name w:val="Nota técnica"/>
    <w:basedOn w:val="Normal"/>
    <w:next w:val="Normal"/>
    <w:qFormat/>
    <w:pPr>
      <w:pBdr>
        <w:left w:val="single" w:sz="12" w:space="8" w:color="A5C8B9"/>
      </w:pBdr>
      <w:shd w:val="clear" w:fill="F2F7F4"/>
      <w:spacing w:before="80" w:after="160" w:line="240" w:lineRule="auto"/>
      <w:ind w:left="140" w:right="100"/>
      <w:jc w:val="both"/>
    </w:pPr>
    <w:rPr>
      <w:i/>
      <w:color w:val="5C6C65"/>
      <w:sz w:val="21"/>
      <w:szCs w:val="21"/>
      <w:lang w:val="pt-BR"/>
    </w:rPr>
  </w:style>
  <w:style w:type="paragraph" w:styleId="Header">
    <w:name w:val="Cabeçalho"/>
    <w:basedOn w:val="Normal"/>
    <w:next w:val="Normal"/>
    <w:qFormat/>
    <w:pPr>
      <w:spacing w:before="0" w:after="80" w:line="240" w:lineRule="auto"/>
      <w:jc w:val="left"/>
    </w:pPr>
    <w:rPr>
      <w:color w:val="5C6C65"/>
      <w:sz w:val="18"/>
      <w:szCs w:val="18"/>
      <w:lang w:val="pt-BR"/>
    </w:rPr>
  </w:style>
  <w:style w:type="paragraph" w:styleId="Footer">
    <w:name w:val="Rodapé"/>
    <w:basedOn w:val="Normal"/>
    <w:next w:val="Normal"/>
    <w:qFormat/>
    <w:pPr>
      <w:spacing w:before="60" w:after="0" w:line="240" w:lineRule="auto"/>
      <w:jc w:val="center"/>
    </w:pPr>
    <w:rPr>
      <w:color w:val="5C6C65"/>
      <w:sz w:val="18"/>
      <w:szCs w:val="18"/>
      <w:lang w:val="pt-BR"/>
    </w:rPr>
  </w:style>
  <w:style w:type="paragraph" w:styleId="TableText">
    <w:name w:val="Texto de tabela"/>
    <w:basedOn w:val="Normal"/>
    <w:next w:val="Normal"/>
    <w:qFormat/>
    <w:pPr>
      <w:spacing w:before="0" w:after="35" w:line="240" w:lineRule="auto"/>
      <w:jc w:val="left"/>
    </w:pPr>
    <w:rPr>
      <w:color w:val="24332C"/>
      <w:sz w:val="21"/>
      <w:szCs w:val="21"/>
      <w:lang w:val="pt-BR"/>
    </w:rPr>
  </w:style>
  <w:style w:type="paragraph" w:styleId="TableHeader">
    <w:name w:val="Cabeçalho de tabela"/>
    <w:basedOn w:val="Normal"/>
    <w:next w:val="Normal"/>
    <w:qFormat/>
    <w:pPr>
      <w:spacing w:before="0" w:after="35" w:line="240" w:lineRule="auto"/>
      <w:jc w:val="left"/>
    </w:pPr>
    <w:rPr>
      <w:b/>
      <w:color w:val="FFFFFF"/>
      <w:sz w:val="21"/>
      <w:szCs w:val="21"/>
      <w:lang w:val="pt-BR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settings" Target="settings.xml" /><ns0:Relationship Id="rId3" Type="http://schemas.openxmlformats.org/officeDocument/2006/relationships/header" Target="header1.xml" /><ns0:Relationship Id="rId4" Type="http://schemas.openxmlformats.org/officeDocument/2006/relationships/footer" Target="footer1.xml" /><ns0:Relationship Id="rId5" Type="http://schemas.openxmlformats.org/officeDocument/2006/relationships/image" Target="media/imagem_1.png" /><ns0:Relationship Id="rId6" Type="http://schemas.openxmlformats.org/officeDocument/2006/relationships/image" Target="media/imagem_2.png" /><ns0:Relationship Id="rId7" Type="http://schemas.openxmlformats.org/officeDocument/2006/relationships/image" Target="media/imagem_3.png" /><ns0:Relationship Id="rId8" Type="http://schemas.openxmlformats.org/officeDocument/2006/relationships/image" Target="media/imagem_4.png" /><ns0:Relationship Id="rId9" Type="http://schemas.openxmlformats.org/officeDocument/2006/relationships/image" Target="media/imagem_5.png" /></ns0:Relationships>
</file>

<file path=docProps/app.xml><?xml version="1.0" encoding="utf-8"?>
<ep:Properties xmlns:ep="http://schemas.openxmlformats.org/officeDocument/2006/extended-properties">
  <ep:Application>Evapo OOXML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técnico do projeto Trabalho Evapo</dc:title>
  <dc:subject>Projeto Evapo</dc:subject>
  <dc:creator>Projeto Evapo</dc:creator>
  <cp:lastModifiedBy>Projeto Evapo</cp:lastModifiedBy>
  <dc:language>pt-BR</dc:language>
  <dcterms:created xsi:type="dcterms:W3CDTF">2026-10-13T12:51:59Z</dcterms:created>
  <dcterms:modified xsi:type="dcterms:W3CDTF">2026-10-13T12:51:59Z</dcterms:modified>
</cp:coreProperties>
</file>