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240"/>
        <w:jc w:val="center"/>
      </w:pPr>
      <w:r>
        <w:rPr>
          <w:rFonts w:ascii="Times New Roman" w:cs="Times New Roman" w:eastAsia="Times New Roman" w:hAnsi="Times New Roman"/>
          <w:b/>
          <w:bCs/>
          <w:sz w:val="24"/>
          <w:szCs w:val="24"/>
        </w:rPr>
        <w:t xml:space="preserve">Arquitectura del Backend de SteamMarket: Descripción de los Proyectos de la Solución</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jc w:val="center"/>
      </w:pPr>
      <w:r>
        <w:rPr>
          <w:rFonts w:ascii="Times New Roman" w:cs="Times New Roman" w:eastAsia="Times New Roman" w:hAnsi="Times New Roman"/>
          <w:sz w:val="24"/>
          <w:szCs w:val="24"/>
        </w:rPr>
        <w:t xml:space="preserve">Ricardo Quispe</w:t>
      </w:r>
    </w:p>
    <w:p>
      <w:pPr>
        <w:spacing w:after="0"/>
        <w:jc w:val="center"/>
      </w:pPr>
      <w:r>
        <w:rPr>
          <w:rFonts w:ascii="Times New Roman" w:cs="Times New Roman" w:eastAsia="Times New Roman" w:hAnsi="Times New Roman"/>
          <w:sz w:val="24"/>
          <w:szCs w:val="24"/>
        </w:rPr>
        <w:t xml:space="preserve">Tecsup</w:t>
      </w:r>
    </w:p>
    <w:p>
      <w:pPr>
        <w:spacing w:after="0"/>
        <w:jc w:val="center"/>
      </w:pPr>
      <w:r>
        <w:rPr>
          <w:rFonts w:ascii="Times New Roman" w:cs="Times New Roman" w:eastAsia="Times New Roman" w:hAnsi="Times New Roman"/>
          <w:sz w:val="24"/>
          <w:szCs w:val="24"/>
        </w:rPr>
        <w:t xml:space="preserve">Desarrollo de Software: Proyecto SteamMarket (Clean Architecture)</w:t>
      </w:r>
    </w:p>
    <w:p>
      <w:pPr>
        <w:spacing w:after="0"/>
        <w:jc w:val="center"/>
      </w:pPr>
      <w:r>
        <w:rPr>
          <w:rFonts w:ascii="Times New Roman" w:cs="Times New Roman" w:eastAsia="Times New Roman" w:hAnsi="Times New Roman"/>
          <w:sz w:val="24"/>
          <w:szCs w:val="24"/>
        </w:rPr>
        <w:t xml:space="preserve">9 de julio de 2026</w:t>
      </w:r>
    </w:p>
    <w:p>
      <w:r>
        <w:br w:type="page"/>
      </w:r>
    </w:p>
    <w:p>
      <w:pPr>
        <w:pStyle w:val="Heading1"/>
        <w:spacing w:after="120" w:before="240" w:line="480" w:lineRule="auto"/>
      </w:pPr>
      <w:r>
        <w:rPr>
          <w:rFonts w:ascii="Times New Roman" w:cs="Times New Roman" w:eastAsia="Times New Roman" w:hAnsi="Times New Roman"/>
          <w:b/>
          <w:bCs/>
          <w:sz w:val="24"/>
          <w:szCs w:val="24"/>
        </w:rPr>
        <w:t xml:space="preserve">Introducción</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El presente informe describe la organización interna del backend del proyecto SteamMarket, una aplicación desarrollada en C# sobre .NET 8 que permite a un usuario iniciar sesión con Steam, cargar su inventario de Dota 2, filtrar los objetos de alto valor (Immortal, Mythical y Arcana), cotizarlos contra el Mercado de la Comunidad de Steam y venderlos con un margen definido por el negocio. La solución completa, visible en el explorador de proyectos del IDE (JetBrains Rider), está organizada bajo el patrón Clean Architecture, el cual separa el código en capas concéntricas con responsabilidades y dependencias claramente delimitadas. A continuación se explica el propósito de cada proyecto que conforma la solución SteamMarket, en el orden en que aparecen en el árbol de soluciones.</w:t>
      </w:r>
    </w:p>
    <w:p>
      <w:pPr>
        <w:pStyle w:val="Heading1"/>
        <w:spacing w:after="120" w:before="240" w:line="480" w:lineRule="auto"/>
      </w:pPr>
      <w:r>
        <w:rPr>
          <w:rFonts w:ascii="Times New Roman" w:cs="Times New Roman" w:eastAsia="Times New Roman" w:hAnsi="Times New Roman"/>
          <w:b/>
          <w:bCs/>
          <w:sz w:val="24"/>
          <w:szCs w:val="24"/>
        </w:rPr>
        <w:t xml:space="preserve">Estructura General de la Solución</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La solución (archivo .sln) agrupa cinco proyectos de C# — SteamMarket.Domain, SteamMarket.Application, SteamMarket.Infrastructure, SteamMarket.Api y SteamMarket.Tests —, además de dos elementos adicionales que no son proyectos de código: la carpeta "Solution Items" y "Scratches and Consoles". La regla que ordena estas capas es la regla de dependencia de Clean Architecture: las capas internas (Domain, Application) no conocen ni dependen de las capas externas (Infrastructure, Api); son las capas externas las que dependen de las internas, normalmente a través de interfaces (puertos) definidas en Application e implementadas en Infrastructure.</w:t>
      </w:r>
    </w:p>
    <w:p>
      <w:pPr>
        <w:pStyle w:val="Heading2"/>
        <w:spacing w:after="100" w:before="200" w:line="480" w:lineRule="auto"/>
      </w:pPr>
      <w:r>
        <w:rPr>
          <w:rFonts w:ascii="Times New Roman" w:cs="Times New Roman" w:eastAsia="Times New Roman" w:hAnsi="Times New Roman"/>
          <w:b/>
          <w:bCs/>
          <w:i/>
          <w:iCs/>
          <w:sz w:val="24"/>
          <w:szCs w:val="24"/>
        </w:rPr>
        <w:t xml:space="preserve">Domain (SteamMarket.Domain)</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Es la capa más interna y no depende de ningún otro proyecto de la solución. Contiene las entidades y reglas de negocio puras del dominio, sin ninguna referencia a Steam, a bases de datos ni a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shd w:fill="3B2260"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Archivo / carpeta</w:t>
            </w:r>
          </w:p>
        </w:tc>
        <w:tc>
          <w:tcPr>
            <w:tcW w:type="dxa" w:w="7160"/>
            <w:tcBorders>
              <w:top w:val="single" w:color="999999" w:sz="2"/>
              <w:left w:val="single" w:color="999999" w:sz="2"/>
              <w:bottom w:val="single" w:color="999999" w:sz="2"/>
              <w:right w:val="single" w:color="999999" w:sz="2"/>
            </w:tcBorders>
            <w:shd w:fill="3B2260"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Responsabilidad</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Entities/InventoryItem.cs</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Entidad principal del dominio: representa un objeto del inventario de Dota 2 (nombre, rareza, calidad, héroe, si es intercambiable/comerciable). Incluye el método IsHighValue(), que encapsula la regla de negocio de qué se considera un objeto "valioso" (Immortal, Mythical o Arcana), y ApplyPricing(), que calcula el precio de pago (payout) aplicando el margen del negocio sobre el precio de mercado.</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ValueObjects/SteamId.cs</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Objeto de valor que representa y valida el identificador de 64 bits de una cuenta de Steam (SteamID64), evitando pasar strings sin validar por el resto del sistema.</w:t>
            </w:r>
          </w:p>
        </w:tc>
      </w:tr>
    </w:tbl>
    <w:p>
      <w:pPr>
        <w:pStyle w:val="Heading2"/>
        <w:spacing w:after="100" w:before="200" w:line="480" w:lineRule="auto"/>
      </w:pPr>
      <w:r>
        <w:rPr>
          <w:rFonts w:ascii="Times New Roman" w:cs="Times New Roman" w:eastAsia="Times New Roman" w:hAnsi="Times New Roman"/>
          <w:b/>
          <w:bCs/>
          <w:i/>
          <w:iCs/>
          <w:sz w:val="24"/>
          <w:szCs w:val="24"/>
        </w:rPr>
        <w:t xml:space="preserve">Application (SteamMarket.Application)</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Contiene los casos de uso de la aplicación: orquesta el dominio y define los "puertos" (interfaces) que la capa Infrastructure deberá implementar. Depende únicamente de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shd w:fill="3B2260"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Archivo / carpeta</w:t>
            </w:r>
          </w:p>
        </w:tc>
        <w:tc>
          <w:tcPr>
            <w:tcW w:type="dxa" w:w="7160"/>
            <w:tcBorders>
              <w:top w:val="single" w:color="999999" w:sz="2"/>
              <w:left w:val="single" w:color="999999" w:sz="2"/>
              <w:bottom w:val="single" w:color="999999" w:sz="2"/>
              <w:right w:val="single" w:color="999999" w:sz="2"/>
            </w:tcBorders>
            <w:shd w:fill="3B2260"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Responsabilidad</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Common/Interfaces/</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Puertos de entrada a servicios externos: ISteamInventoryClient (obtener el inventario desde Steam) e IMarketPriceProvider (obtener precios del Mercado de Steam). Application solo conoce estas interfaces, nunca su implementación real.</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Services/InventoryService.cs</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Caso de uso principal: obtiene el inventario vía ISteamInventoryClient, filtra los objetos comerciables y valiosos, solicita sus precios vía IMarketPriceProvider y aplica la regla de negocio de pago (ApplyPricing) definida en el dominio.</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DTOs/InventoryModels.cs</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Objetos de transferencia de datos (DTO) usados para exponer el inventario ya procesado hacia la capa Api, sin filtrar detalles internos del dominio.</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Pricing/PricingOptions.cs</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Opciones de configuración validadas (margen de ganancia, horas de caché de precio, moneda) que se leen desde appsettings.json.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Inventory/InventoryCacheOptions.cs</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Configuración del tiempo de vida de la caché de inventario (en minutos).</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DependencyInjection.cs</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Registra y valida en el contenedor de inyección de dependencias las opciones de configuración de esta capa (PricingOptions, InventoryCacheOptions).</w:t>
            </w:r>
          </w:p>
        </w:tc>
      </w:tr>
    </w:tbl>
    <w:p>
      <w:pPr>
        <w:pStyle w:val="Heading2"/>
        <w:spacing w:after="100" w:before="200" w:line="480" w:lineRule="auto"/>
      </w:pPr>
      <w:r>
        <w:rPr>
          <w:rFonts w:ascii="Times New Roman" w:cs="Times New Roman" w:eastAsia="Times New Roman" w:hAnsi="Times New Roman"/>
          <w:b/>
          <w:bCs/>
          <w:i/>
          <w:iCs/>
          <w:sz w:val="24"/>
          <w:szCs w:val="24"/>
        </w:rPr>
        <w:t xml:space="preserve">Infrastructure (SteamMarket.Infrastructure)</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Implementa los puertos definidos en Application usando tecnología concreta: llamadas HTTP a los endpoints públicos de Steam, persistencia con Entity Framework Core sobre SQLite, y un servicio en segundo plano. Depende de Application y de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shd w:fill="3B2260"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Archivo / carpeta</w:t>
            </w:r>
          </w:p>
        </w:tc>
        <w:tc>
          <w:tcPr>
            <w:tcW w:type="dxa" w:w="7160"/>
            <w:tcBorders>
              <w:top w:val="single" w:color="999999" w:sz="2"/>
              <w:left w:val="single" w:color="999999" w:sz="2"/>
              <w:bottom w:val="single" w:color="999999" w:sz="2"/>
              <w:right w:val="single" w:color="999999" w:sz="2"/>
            </w:tcBorders>
            <w:shd w:fill="3B2260"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Responsabilidad</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Steam/SteamInventoryClient.cs</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Implementa ISteamInventoryClient: descarga el inventario de Dota 2 desde steamcommunity.com/inventory, paginando resultados, extrayendo rareza/calidad/héroe de las etiquetas (tags) de Steam, y aplicando una caché en SQLite (CachedInventory) con reintento ante fallos (fallback a datos previos si Steam responde con error 429).</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Pricing/SteamMarketPriceProvider.cs</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Implementa IMarketPriceProvider: consulta el endpoint priceoverview de Steam Market para cada objeto, con un límite de peticiones en vivo por llamada y una caché en SQLite (CachedMarketPrice) filtrada por moneda (CurrencyId), evitando servir precios de una moneda distinta a la configurada.</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Pricing/InventoryPriceWarmupService.cs</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Servicio en segundo plano (BackgroundService) que, de forma independiente a cualquier petición HTTP del usuario, recorre periódicamente los inventarios cacheados y va completando los precios faltantes sin saturar a Steam de peticiones.</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Persistence/SteamMarketDbContext.cs</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DbContext de Entity Framework Core: define las tablas CachedInventories y CachedMarketPrices sobre SQLite.</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Migrations/</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Migraciones de Entity Framework Core (InitialCreate, AddInventoryCache, AddCurrencyToMarketPrices) que versionan los cambios del esquema de la base de datos.</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Models/SteamInventoryResponse.cs</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Modelos que reflejan la forma exacta de la respuesta JSON cruda de la API de Steam, usados solo dentro de esta capa para deserializar y luego mapear hacia el dominio.</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DependencyInjection.cs</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Registra los HttpClient tipados, el DbContext de SQLite y el servicio en segundo plano en el contenedor de dependencias; es aquí donde se conecta cada interfaz de Application con su implementación real.</w:t>
            </w:r>
          </w:p>
        </w:tc>
      </w:tr>
    </w:tbl>
    <w:p>
      <w:pPr>
        <w:pStyle w:val="Heading2"/>
        <w:spacing w:after="100" w:before="200" w:line="480" w:lineRule="auto"/>
      </w:pPr>
      <w:r>
        <w:rPr>
          <w:rFonts w:ascii="Times New Roman" w:cs="Times New Roman" w:eastAsia="Times New Roman" w:hAnsi="Times New Roman"/>
          <w:b/>
          <w:bCs/>
          <w:i/>
          <w:iCs/>
          <w:sz w:val="24"/>
          <w:szCs w:val="24"/>
        </w:rPr>
        <w:t xml:space="preserve">Api (SteamMarket.Api)</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Es el punto de entrada de la aplicación: expone los casos de uso de Application como endpoints HTTP y actúa como "composition root", es decir, el lugar donde se ensamblan todas las capas. Depende de Application 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shd w:fill="3B2260"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Archivo / carpeta</w:t>
            </w:r>
          </w:p>
        </w:tc>
        <w:tc>
          <w:tcPr>
            <w:tcW w:type="dxa" w:w="7160"/>
            <w:tcBorders>
              <w:top w:val="single" w:color="999999" w:sz="2"/>
              <w:left w:val="single" w:color="999999" w:sz="2"/>
              <w:bottom w:val="single" w:color="999999" w:sz="2"/>
              <w:right w:val="single" w:color="999999" w:sz="2"/>
            </w:tcBorders>
            <w:shd w:fill="3B2260"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Responsabilidad</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Program.cs</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Punto de arranque de la aplicación ASP.NET Core: configura los servicios (AddApplication, AddInfrastructure), aplica las migraciones de base de datos automáticamente (Database.Migrate()) y define el pipeline HTTP.</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Controllers/AuthController.cs</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Expone el flujo de inicio de sesión con Steam (OpenID) y el cierre de sesión.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Controllers/InventoryController.cs</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Expone el endpoint GET del inventario del usuario autenticado, delegando toda la lógica a IInventoryService (Application).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Middleware/GlobalExceptionHandler.cs</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Manejo global de errores no controlados: traduce cualquier excepción en una respuesta HTTP estandarizada (ProblemDetails) en lugar de exponer detalles internos.</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Validation/LoginRequestValidator.cs</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Validación (FluentValidation) de la URL de retorno del login, para prevenir ataques de redirección abierta (open redirect).</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Contracts/LoginRequest.cs</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Contrato de entrada del endpoint de login.</w:t>
            </w:r>
          </w:p>
        </w:tc>
      </w:tr>
    </w:tbl>
    <w:p>
      <w:pPr>
        <w:pStyle w:val="Heading2"/>
        <w:spacing w:after="100" w:before="200" w:line="480" w:lineRule="auto"/>
      </w:pPr>
      <w:r>
        <w:rPr>
          <w:rFonts w:ascii="Times New Roman" w:cs="Times New Roman" w:eastAsia="Times New Roman" w:hAnsi="Times New Roman"/>
          <w:b/>
          <w:bCs/>
          <w:i/>
          <w:iCs/>
          <w:sz w:val="24"/>
          <w:szCs w:val="24"/>
        </w:rPr>
        <w:t xml:space="preserve">Tests (SteamMarket.Tests)</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Proyecto de pruebas unitarias (xUnit + Moq) que verifica la lógica de Application y Domain de forma aislada, sin conexión real a Steam ni a la base de datos: las dependencias externas (ISteamInventoryClient, IMarketPriceProvider) se simulan con mocks.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shd w:fill="3B2260"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Archivo / carpeta</w:t>
            </w:r>
          </w:p>
        </w:tc>
        <w:tc>
          <w:tcPr>
            <w:tcW w:type="dxa" w:w="7160"/>
            <w:tcBorders>
              <w:top w:val="single" w:color="999999" w:sz="2"/>
              <w:left w:val="single" w:color="999999" w:sz="2"/>
              <w:bottom w:val="single" w:color="999999" w:sz="2"/>
              <w:right w:val="single" w:color="999999" w:sz="2"/>
            </w:tcBorders>
            <w:shd w:fill="3B2260"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Responsabilidad</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Application/InventoryServiceTests.cs</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Prueba la orquestación del caso de uso principal: que solo se pidan precios de objetos comerciables y valiosos, que se deduplique por nombre, y que el precio de pago solo se aplique cuando hay una cotización exitosa.</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Application/PricingOptionsValidationTests.cs</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Prueba que las validaciones de configuración (margen, horas de caché, moneda) rechacen valores fuera de rango.</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Domain/InventoryItemTests.cs</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Prueba la regla de negocio IsHighValue() y el cálculo de ApplyPricing() directamente sobre la entidad de dominio.</w:t>
            </w:r>
          </w:p>
        </w:tc>
      </w:tr>
    </w:tbl>
    <w:p>
      <w:pPr>
        <w:pStyle w:val="Heading1"/>
        <w:spacing w:after="120" w:before="240" w:line="480" w:lineRule="auto"/>
      </w:pPr>
      <w:r>
        <w:rPr>
          <w:rFonts w:ascii="Times New Roman" w:cs="Times New Roman" w:eastAsia="Times New Roman" w:hAnsi="Times New Roman"/>
          <w:b/>
          <w:bCs/>
          <w:sz w:val="24"/>
          <w:szCs w:val="24"/>
        </w:rPr>
        <w:t xml:space="preserve">Otros Elementos de la Solución</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Además de los cinco proyectos, el árbol de soluciones muestra dos elementos que no contienen código de la aplicación: "Solution Items", una carpeta virtual de JetBrains Rider para archivos sueltos asociados a la solución (por ejemplo, el .gitignore o el propio .sln), y "Scratches and Consoles", un espacio de trabajo temporal del IDE para pruebas rápidas de código que no forma parte del proyecto ni se versiona. También aparece la carpeta SteamMarket-backend (marcada como "attached"), que corresponde al directorio contenedor fuera de la solución donde vive físicamente la carpeta SteamMarket; al estar solo "adjunta" (attached) y no ser un proyecto en sí, sirve únicamente como referencia de archivos del sistema dentro del IDE.</w:t>
      </w:r>
    </w:p>
    <w:p>
      <w:pPr>
        <w:pStyle w:val="Heading1"/>
        <w:spacing w:after="120" w:before="240" w:line="480" w:lineRule="auto"/>
      </w:pPr>
      <w:r>
        <w:rPr>
          <w:rFonts w:ascii="Times New Roman" w:cs="Times New Roman" w:eastAsia="Times New Roman" w:hAnsi="Times New Roman"/>
          <w:b/>
          <w:bCs/>
          <w:sz w:val="24"/>
          <w:szCs w:val="24"/>
        </w:rPr>
        <w:t xml:space="preserve">Conclusión</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La solución SteamMarket aplica Clean Architecture de forma consistente: Domain concentra las reglas de negocio sin depender de nada externo; Application define los casos de uso y los puertos que necesita del mundo exterior; Infrastructure implementa esos puertos contra Steam y SQLite; y Api expone todo como una API HTTP, además de ser el único lugar donde se conectan las implementaciones concretas con sus interfaces. El proyecto Tests, por su parte, valida que la lógica de negocio y de orquestación se comporte correctamente sin depender de servicios externos reales. Esta separación permite, por ejemplo, cambiar la fuente de precios o la base de datos sin modificar las reglas de negocio ni los casos de uso.</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2026-07-09T05:35:13.886Z</dcterms:created>
  <dcterms:modified xsi:type="dcterms:W3CDTF">2026-07-09T05:35:13.887Z</dcterms:modified>
</cp:coreProperties>
</file>

<file path=docProps/custom.xml><?xml version="1.0" encoding="utf-8"?>
<Properties xmlns="http://schemas.openxmlformats.org/officeDocument/2006/custom-properties" xmlns:vt="http://schemas.openxmlformats.org/officeDocument/2006/docPropsVTypes"/>
</file>