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5C" w:rsidRPr="00A26F5C" w:rsidRDefault="00A26F5C" w:rsidP="00A26F5C">
      <w:pPr>
        <w:shd w:val="clear" w:color="auto" w:fill="FFFFFF"/>
        <w:spacing w:after="0" w:line="315" w:lineRule="atLeast"/>
        <w:jc w:val="center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0"/>
        <w:gridCol w:w="2850"/>
      </w:tblGrid>
      <w:tr w:rsidR="00A26F5C" w:rsidRPr="00A26F5C" w:rsidTr="00FA4E7A">
        <w:trPr>
          <w:tblCellSpacing w:w="0" w:type="dxa"/>
        </w:trPr>
        <w:tc>
          <w:tcPr>
            <w:tcW w:w="0" w:type="auto"/>
            <w:vAlign w:val="center"/>
            <w:hideMark/>
          </w:tcPr>
          <w:p w:rsidR="00DE3B71" w:rsidRDefault="00DE3B71" w:rsidP="00A26F5C">
            <w:pPr>
              <w:spacing w:after="324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295400" cy="1762125"/>
                  <wp:effectExtent l="19050" t="0" r="0" b="0"/>
                  <wp:docPr id="4" name="Imagem 3" descr="C:\Users\windows\Pictures\Nova pasta\Sem títu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Pictures\Nova pasta\Sem títu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F5C" w:rsidRPr="00A26F5C" w:rsidRDefault="00A26F5C" w:rsidP="00A26F5C">
            <w:pPr>
              <w:spacing w:after="324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Jair Ventura Santana </w:t>
            </w: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(Curr</w:t>
            </w:r>
            <w:r w:rsidR="007F2224">
              <w:rPr>
                <w:rFonts w:ascii="Tahoma" w:eastAsia="Times New Roman" w:hAnsi="Tahoma" w:cs="Arial"/>
                <w:color w:val="000000"/>
                <w:sz w:val="24"/>
                <w:szCs w:val="24"/>
                <w:lang w:eastAsia="pt-BR"/>
              </w:rPr>
              <w:t>í</w:t>
            </w:r>
            <w:r w:rsidR="005362E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culo</w:t>
            </w: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Profissional)</w:t>
            </w:r>
          </w:p>
        </w:tc>
        <w:tc>
          <w:tcPr>
            <w:tcW w:w="2850" w:type="dxa"/>
            <w:vAlign w:val="center"/>
            <w:hideMark/>
          </w:tcPr>
          <w:p w:rsidR="00A26F5C" w:rsidRPr="00A26F5C" w:rsidRDefault="005362E0" w:rsidP="005362E0">
            <w:pPr>
              <w:spacing w:after="324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Atualizado </w:t>
            </w:r>
            <w:r w:rsidR="00A26F5C"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em: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15/11</w:t>
            </w:r>
            <w:r w:rsid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</w:t>
            </w:r>
            <w:r w:rsidR="00E64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</w:tr>
    </w:tbl>
    <w:p w:rsidR="00A26F5C" w:rsidRPr="00A26F5C" w:rsidRDefault="00A26F5C" w:rsidP="00A26F5C">
      <w:pPr>
        <w:shd w:val="clear" w:color="auto" w:fill="FFFFFF"/>
        <w:spacing w:after="240" w:line="330" w:lineRule="atLeast"/>
        <w:jc w:val="center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 w:type="textWrapping" w:clear="all"/>
      </w:r>
    </w:p>
    <w:tbl>
      <w:tblPr>
        <w:tblpPr w:leftFromText="45" w:rightFromText="45" w:vertAnchor="text"/>
        <w:tblW w:w="9000" w:type="dxa"/>
        <w:tblCellSpacing w:w="22" w:type="dxa"/>
        <w:tblCellMar>
          <w:left w:w="0" w:type="dxa"/>
          <w:right w:w="0" w:type="dxa"/>
        </w:tblCellMar>
        <w:tblLook w:val="04A0"/>
      </w:tblPr>
      <w:tblGrid>
        <w:gridCol w:w="2863"/>
        <w:gridCol w:w="191"/>
        <w:gridCol w:w="5946"/>
      </w:tblGrid>
      <w:tr w:rsidR="00A26F5C" w:rsidRPr="00A26F5C" w:rsidTr="00A26F5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 de nascimento: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5362E0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21/08/1966 (48</w:t>
            </w:r>
            <w:r w:rsidR="00A26F5C"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anos)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285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Estado civil:</w:t>
            </w:r>
          </w:p>
        </w:tc>
        <w:tc>
          <w:tcPr>
            <w:tcW w:w="15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00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Divorciado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Endere</w:t>
            </w:r>
            <w:r>
              <w:rPr>
                <w:rFonts w:ascii="Tahoma" w:eastAsia="Times New Roman" w:hAnsi="Tahoma" w:cs="Arial"/>
                <w:b/>
                <w:bCs/>
                <w:color w:val="000000"/>
                <w:sz w:val="24"/>
                <w:szCs w:val="24"/>
                <w:lang w:eastAsia="pt-BR"/>
              </w:rPr>
              <w:t>ç</w:t>
            </w:r>
            <w:r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720841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Victorino José Goulart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Bairro: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E64133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São T</w:t>
            </w:r>
            <w:r w:rsidR="0072084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omé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Cidade: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720841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Viamão</w:t>
            </w:r>
            <w:r w:rsidR="00A26F5C"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RS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CEP: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</w:t>
            </w:r>
            <w:r w:rsidR="0072084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460-260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</w:t>
            </w:r>
            <w:r>
              <w:rPr>
                <w:rFonts w:ascii="Tahoma" w:eastAsia="Times New Roman" w:hAnsi="Tahoma" w:cs="Arial"/>
                <w:b/>
                <w:bCs/>
                <w:color w:val="000000"/>
                <w:sz w:val="24"/>
                <w:szCs w:val="24"/>
                <w:lang w:eastAsia="pt-BR"/>
              </w:rPr>
              <w:t>í</w:t>
            </w:r>
            <w:r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Brasil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Telefone: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5362E0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(51) 96698762           Contato (51) 99646599</w:t>
            </w:r>
            <w:r w:rsidR="00A26F5C" w:rsidRPr="00A2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  </w:t>
            </w:r>
            <w:r w:rsidR="00A26F5C"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A26F5C" w:rsidRPr="00A26F5C" w:rsidRDefault="00A26F5C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OBJETIVO</w:t>
      </w:r>
    </w:p>
    <w:p w:rsidR="00A26F5C" w:rsidRPr="00A26F5C" w:rsidRDefault="00A26F5C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A26F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>
        <w:rPr>
          <w:rFonts w:ascii="Tahoma" w:eastAsia="Times New Roman" w:hAnsi="Tahoma" w:cs="Arial"/>
          <w:color w:val="000000"/>
          <w:sz w:val="24"/>
          <w:szCs w:val="24"/>
          <w:lang w:eastAsia="pt-BR"/>
        </w:rPr>
        <w:t>é</w:t>
      </w:r>
      <w:r w:rsidRPr="00A26F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cnico Mec</w:t>
      </w:r>
      <w:r>
        <w:rPr>
          <w:rFonts w:ascii="Tahoma" w:eastAsia="Times New Roman" w:hAnsi="Tahoma" w:cs="Arial"/>
          <w:color w:val="000000"/>
          <w:sz w:val="24"/>
          <w:szCs w:val="24"/>
          <w:lang w:eastAsia="pt-BR"/>
        </w:rPr>
        <w:t>â</w:t>
      </w:r>
      <w:r w:rsidRPr="00A26F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nico de Manuten</w:t>
      </w:r>
      <w:r>
        <w:rPr>
          <w:rFonts w:ascii="Tahoma" w:eastAsia="Times New Roman" w:hAnsi="Tahoma" w:cs="Arial"/>
          <w:color w:val="000000"/>
          <w:sz w:val="24"/>
          <w:szCs w:val="24"/>
          <w:lang w:eastAsia="pt-BR"/>
        </w:rPr>
        <w:t>çã</w:t>
      </w:r>
      <w:r w:rsidRPr="00A26F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</w:p>
    <w:p w:rsidR="00E267D5" w:rsidRDefault="00E267D5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</w:p>
    <w:p w:rsidR="00A26F5C" w:rsidRDefault="00A26F5C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GRADUA</w:t>
      </w:r>
      <w:r>
        <w:rPr>
          <w:rFonts w:ascii="Tahoma" w:eastAsia="Times New Roman" w:hAnsi="Tahoma" w:cs="Arial"/>
          <w:b/>
          <w:bCs/>
          <w:color w:val="444444"/>
          <w:sz w:val="24"/>
          <w:szCs w:val="24"/>
          <w:lang w:eastAsia="pt-BR"/>
        </w:rPr>
        <w:t>ÇÃ</w:t>
      </w: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O 1</w:t>
      </w:r>
    </w:p>
    <w:tbl>
      <w:tblPr>
        <w:tblpPr w:leftFromText="45" w:rightFromText="45" w:vertAnchor="text"/>
        <w:tblW w:w="9000" w:type="dxa"/>
        <w:tblCellSpacing w:w="22" w:type="dxa"/>
        <w:tblCellMar>
          <w:left w:w="0" w:type="dxa"/>
          <w:right w:w="0" w:type="dxa"/>
        </w:tblCellMar>
        <w:tblLook w:val="04A0"/>
      </w:tblPr>
      <w:tblGrid>
        <w:gridCol w:w="2872"/>
        <w:gridCol w:w="192"/>
        <w:gridCol w:w="5936"/>
      </w:tblGrid>
      <w:tr w:rsidR="00A26F5C" w:rsidRPr="00A26F5C" w:rsidTr="00682D5D">
        <w:trPr>
          <w:tblCellSpacing w:w="22" w:type="dxa"/>
        </w:trPr>
        <w:tc>
          <w:tcPr>
            <w:tcW w:w="285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                     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Institui</w:t>
            </w:r>
            <w:r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o:</w:t>
            </w:r>
          </w:p>
        </w:tc>
        <w:tc>
          <w:tcPr>
            <w:tcW w:w="15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00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Escola S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Lucas ULBRA</w:t>
            </w:r>
          </w:p>
        </w:tc>
      </w:tr>
      <w:tr w:rsidR="00A26F5C" w:rsidRPr="00A26F5C" w:rsidTr="00682D5D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Curso: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é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cnico em Mecatr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ô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nica</w:t>
            </w:r>
          </w:p>
        </w:tc>
      </w:tr>
      <w:tr w:rsidR="00A26F5C" w:rsidRPr="00A26F5C" w:rsidTr="00682D5D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Ano que est</w:t>
            </w:r>
            <w:r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cursando: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Conclu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í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</w:t>
            </w:r>
          </w:p>
        </w:tc>
      </w:tr>
      <w:tr w:rsidR="00A26F5C" w:rsidRPr="00A26F5C" w:rsidTr="00682D5D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Per</w:t>
            </w:r>
            <w:r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í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odo: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06/2005 a 06/2007</w:t>
            </w:r>
          </w:p>
        </w:tc>
      </w:tr>
    </w:tbl>
    <w:p w:rsidR="00A26F5C" w:rsidRPr="00A26F5C" w:rsidRDefault="00A26F5C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GRADUA</w:t>
      </w:r>
      <w:r>
        <w:rPr>
          <w:rFonts w:ascii="Tahoma" w:eastAsia="Times New Roman" w:hAnsi="Tahoma" w:cs="Arial"/>
          <w:b/>
          <w:bCs/>
          <w:color w:val="444444"/>
          <w:sz w:val="24"/>
          <w:szCs w:val="24"/>
          <w:lang w:eastAsia="pt-BR"/>
        </w:rPr>
        <w:t>ÇÃ</w:t>
      </w: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O 2</w:t>
      </w:r>
    </w:p>
    <w:tbl>
      <w:tblPr>
        <w:tblpPr w:leftFromText="45" w:rightFromText="45" w:vertAnchor="text"/>
        <w:tblW w:w="9000" w:type="dxa"/>
        <w:tblCellSpacing w:w="22" w:type="dxa"/>
        <w:tblCellMar>
          <w:left w:w="0" w:type="dxa"/>
          <w:right w:w="0" w:type="dxa"/>
        </w:tblCellMar>
        <w:tblLook w:val="04A0"/>
      </w:tblPr>
      <w:tblGrid>
        <w:gridCol w:w="2872"/>
        <w:gridCol w:w="192"/>
        <w:gridCol w:w="5936"/>
      </w:tblGrid>
      <w:tr w:rsidR="00A26F5C" w:rsidRPr="00A26F5C" w:rsidTr="00682D5D">
        <w:trPr>
          <w:tblCellSpacing w:w="22" w:type="dxa"/>
        </w:trPr>
        <w:tc>
          <w:tcPr>
            <w:tcW w:w="2850" w:type="dxa"/>
            <w:vAlign w:val="center"/>
            <w:hideMark/>
          </w:tcPr>
          <w:p w:rsidR="00A26F5C" w:rsidRPr="00A26F5C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                     </w:t>
            </w:r>
            <w:r w:rsidR="00A26F5C"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Institui</w:t>
            </w:r>
            <w:r w:rsidR="00A26F5C"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çã</w:t>
            </w:r>
            <w:r w:rsidR="00A26F5C"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o:</w:t>
            </w:r>
          </w:p>
        </w:tc>
        <w:tc>
          <w:tcPr>
            <w:tcW w:w="15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00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Escola T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é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cnico Educacional Equipe</w:t>
            </w:r>
          </w:p>
        </w:tc>
      </w:tr>
      <w:tr w:rsidR="00A26F5C" w:rsidRPr="00A26F5C" w:rsidTr="00682D5D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Curso: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Ensino M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é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dio</w:t>
            </w:r>
          </w:p>
        </w:tc>
      </w:tr>
      <w:tr w:rsidR="00A26F5C" w:rsidRPr="00A26F5C" w:rsidTr="00682D5D">
        <w:trPr>
          <w:tblCellSpacing w:w="22" w:type="dxa"/>
        </w:trPr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Ano que est</w:t>
            </w:r>
            <w:r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cursando: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Conclu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í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</w:t>
            </w:r>
          </w:p>
        </w:tc>
      </w:tr>
    </w:tbl>
    <w:p w:rsidR="00A26F5C" w:rsidRPr="00A26F5C" w:rsidRDefault="00A26F5C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lastRenderedPageBreak/>
        <w:t>HABILIDADES</w:t>
      </w:r>
    </w:p>
    <w:tbl>
      <w:tblPr>
        <w:tblpPr w:leftFromText="45" w:rightFromText="45" w:vertAnchor="text"/>
        <w:tblW w:w="9000" w:type="dxa"/>
        <w:tblCellSpacing w:w="22" w:type="dxa"/>
        <w:tblCellMar>
          <w:left w:w="0" w:type="dxa"/>
          <w:right w:w="0" w:type="dxa"/>
        </w:tblCellMar>
        <w:tblLook w:val="04A0"/>
      </w:tblPr>
      <w:tblGrid>
        <w:gridCol w:w="2866"/>
        <w:gridCol w:w="192"/>
        <w:gridCol w:w="5942"/>
      </w:tblGrid>
      <w:tr w:rsidR="00A26F5C" w:rsidRPr="00A26F5C" w:rsidTr="00682D5D">
        <w:trPr>
          <w:tblCellSpacing w:w="22" w:type="dxa"/>
        </w:trPr>
        <w:tc>
          <w:tcPr>
            <w:tcW w:w="2850" w:type="dxa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Idiomas:</w:t>
            </w:r>
          </w:p>
        </w:tc>
        <w:tc>
          <w:tcPr>
            <w:tcW w:w="15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00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Ingl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ê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Intermedi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rio Espanhol B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sico</w:t>
            </w:r>
          </w:p>
        </w:tc>
      </w:tr>
    </w:tbl>
    <w:p w:rsidR="00A26F5C" w:rsidRDefault="00A26F5C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E267D5" w:rsidRDefault="00E267D5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A26F5C" w:rsidRDefault="00A26F5C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EXPERI</w:t>
      </w:r>
      <w:r>
        <w:rPr>
          <w:rFonts w:ascii="Tahoma" w:eastAsia="Times New Roman" w:hAnsi="Tahoma" w:cs="Arial"/>
          <w:b/>
          <w:bCs/>
          <w:color w:val="444444"/>
          <w:sz w:val="24"/>
          <w:szCs w:val="24"/>
          <w:lang w:eastAsia="pt-BR"/>
        </w:rPr>
        <w:t>Ê</w:t>
      </w: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NCIA PROFISSIONAL</w:t>
      </w:r>
    </w:p>
    <w:p w:rsidR="005362E0" w:rsidRDefault="005362E0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</w:p>
    <w:p w:rsidR="005362E0" w:rsidRDefault="005362E0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5362E0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Empresa</w:t>
      </w:r>
      <w:r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:  DANA Industrias</w:t>
      </w:r>
    </w:p>
    <w:p w:rsidR="005362E0" w:rsidRDefault="005362E0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        Cargo: Mecânico de Manutenção Industrial</w:t>
      </w:r>
    </w:p>
    <w:p w:rsidR="005362E0" w:rsidRDefault="005362E0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</w:p>
    <w:p w:rsidR="005362E0" w:rsidRDefault="005362E0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</w:p>
    <w:p w:rsidR="005362E0" w:rsidRDefault="005362E0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        Período: De 15-04-2014 à 06-08-2014</w:t>
      </w:r>
    </w:p>
    <w:p w:rsidR="005362E0" w:rsidRDefault="005362E0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</w:p>
    <w:p w:rsidR="005362E0" w:rsidRDefault="005362E0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Atribuições do Cargo:</w:t>
      </w:r>
    </w:p>
    <w:p w:rsidR="005362E0" w:rsidRDefault="005362E0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</w:p>
    <w:p w:rsidR="005362E0" w:rsidRPr="00A26F5C" w:rsidRDefault="005362E0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                        Atividades relacionadas a manutenções mecânicas corretivas e preventivas de máquinas de usinagem, tais como centros de usinagem MAZAK, Tornos Cncs INDEX, MAZAK, ROMI, Brochadeiras, Fresadoras, soldas em geral, acompanhamento de defeitos eletroeletronicos, trabalhos executados em turno Noturno. </w:t>
      </w:r>
    </w:p>
    <w:tbl>
      <w:tblPr>
        <w:tblpPr w:leftFromText="45" w:rightFromText="45" w:vertAnchor="text"/>
        <w:tblW w:w="8592" w:type="dxa"/>
        <w:tblCellSpacing w:w="22" w:type="dxa"/>
        <w:tblCellMar>
          <w:left w:w="0" w:type="dxa"/>
          <w:right w:w="0" w:type="dxa"/>
        </w:tblCellMar>
        <w:tblLook w:val="04A0"/>
      </w:tblPr>
      <w:tblGrid>
        <w:gridCol w:w="1487"/>
        <w:gridCol w:w="74"/>
        <w:gridCol w:w="111"/>
        <w:gridCol w:w="6920"/>
      </w:tblGrid>
      <w:tr w:rsidR="00A26F5C" w:rsidRPr="00A26F5C" w:rsidTr="00A26F5C">
        <w:trPr>
          <w:tblCellSpacing w:w="22" w:type="dxa"/>
        </w:trPr>
        <w:tc>
          <w:tcPr>
            <w:tcW w:w="1430" w:type="dxa"/>
            <w:gridSpan w:val="2"/>
            <w:vAlign w:val="center"/>
            <w:hideMark/>
          </w:tcPr>
          <w:p w:rsidR="00E267D5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  </w:t>
            </w:r>
          </w:p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 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Empresa:</w:t>
            </w:r>
          </w:p>
        </w:tc>
        <w:tc>
          <w:tcPr>
            <w:tcW w:w="6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926" w:type="dxa"/>
            <w:vAlign w:val="center"/>
            <w:hideMark/>
          </w:tcPr>
          <w:p w:rsidR="00E267D5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GKN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Cargo: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Mec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â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nico de Manuten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Industrial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A26F5C" w:rsidRPr="00A26F5C" w:rsidRDefault="00A26F5C" w:rsidP="00AE4F44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Per</w:t>
            </w:r>
            <w:r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í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odo: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267D5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E267D5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06/2010 </w:t>
            </w:r>
            <w:r w:rsidR="00BF51B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à 17-02-2014</w:t>
            </w:r>
          </w:p>
          <w:p w:rsidR="00E267D5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E267D5" w:rsidRPr="00A26F5C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26F5C" w:rsidRPr="00A26F5C" w:rsidTr="00E267D5">
        <w:trPr>
          <w:trHeight w:val="6192"/>
          <w:tblCellSpacing w:w="22" w:type="dxa"/>
        </w:trPr>
        <w:tc>
          <w:tcPr>
            <w:tcW w:w="0" w:type="auto"/>
            <w:gridSpan w:val="2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Atribui</w:t>
            </w:r>
            <w:r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çõ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es 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do cargo: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Atividades relacionadas a manuten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çõ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 corretivas e preventivas de maquinas operatrizes em geral do ramo metalmec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â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nico, eixos arvore (spindles) fusos de esferas recirculantes, guias lineares, geometria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maquinas, linhas de processo 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continuo, celulas "C", maquinas de tratamento termico, Ajuste de eixos em mancais com rolamentos ou buchas de bronze em contato cer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â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mico, fabrica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de serpentinas para maquinas de tratamento t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é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rmico, revis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de caixas de velocidades, ajustes de torres porta-ferramentas, placas de aperto pneum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tico, solu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 de problemas hidr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ulicos e pneum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ticos, layout de maquinas com instala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pneum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tica e hidr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uli</w:t>
            </w:r>
            <w:r w:rsidR="00E267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ca.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gridSpan w:val="4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1430" w:type="dxa"/>
            <w:gridSpan w:val="2"/>
            <w:vAlign w:val="center"/>
            <w:hideMark/>
          </w:tcPr>
          <w:p w:rsid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DE3B71" w:rsidRDefault="00DE3B71" w:rsidP="00E267D5">
            <w:pPr>
              <w:spacing w:before="20" w:after="20" w:line="33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DE3B71" w:rsidRDefault="00DE3B71" w:rsidP="00E267D5">
            <w:pPr>
              <w:spacing w:before="20" w:after="20" w:line="33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DE3B71" w:rsidRDefault="00DE3B71" w:rsidP="00E267D5">
            <w:pPr>
              <w:spacing w:before="20" w:after="20" w:line="33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Empresa:</w:t>
            </w:r>
          </w:p>
        </w:tc>
        <w:tc>
          <w:tcPr>
            <w:tcW w:w="60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926" w:type="dxa"/>
            <w:vAlign w:val="center"/>
            <w:hideMark/>
          </w:tcPr>
          <w:p w:rsid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DE3B71" w:rsidRDefault="00DE3B71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DE3B71" w:rsidRDefault="00DE3B71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DE3B71" w:rsidRDefault="00DE3B71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Stihl Ferramentas Motorizadas Ltda.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Cargo: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é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cnico Mec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â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nico de Manuten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A26F5C" w:rsidRPr="00A26F5C" w:rsidRDefault="00A26F5C" w:rsidP="005E2CF8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A26F5C" w:rsidRPr="00A26F5C" w:rsidRDefault="00A26F5C" w:rsidP="005E2CF8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Per</w:t>
            </w:r>
            <w:r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í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odo: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03/1995 at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é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01/2010</w:t>
            </w:r>
          </w:p>
          <w:p w:rsidR="00E267D5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E267D5" w:rsidRPr="00A26F5C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gridSpan w:val="2"/>
            <w:hideMark/>
          </w:tcPr>
          <w:p w:rsidR="00A26F5C" w:rsidRPr="00A26F5C" w:rsidRDefault="00A26F5C" w:rsidP="00DE3B71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Atribui</w:t>
            </w:r>
            <w:r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çõ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 do cargo: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267D5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E267D5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Atividades relacionadas a manuten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çõ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 corretivas, preventivas e preditivas em maquinas operatrizes tais como, tornos CNC, retificas cil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í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ndricas angulares, centros de usinagem MAZAK, WOTAN, CINCINATTI, CHIRON, maquinas de brunir NAGEL e 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SUNNEN, manuten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çõ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 em linhas de processo continuo (Linha decromagem) e reforma de maquinas.</w:t>
            </w:r>
          </w:p>
          <w:p w:rsidR="00DE3B71" w:rsidRDefault="00DE3B71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E3B71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Atividades desenvolvidas</w:t>
            </w:r>
            <w:r w:rsidR="00DE3B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Atuar diretamente na manuten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e conserva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de equipamentos mec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â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nicos para o processo de fabrica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o. Trabalho com manuten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çõ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 corretivas, preventivas 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 preditivas, no intuito de conservar e garantir um equipamento est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vel para o processo e entre os trabalhos desenvolvidos est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alinhamento e geometria de maquinas atrav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é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de analise preditiva com equipamento balbarRENISHAW, 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balanceamento de eixos arvore de alta velocidade (20.000 rpm) e com rolamentos cer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â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micos com equipamento HOFFMANN.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Solu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de problemas hidr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ulicos e pneum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á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ticos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Montagem de tanques e estruturas em PVC, soldagem de pol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í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meros em geral.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Trabalho com ferramentas de gerenciamento como SAP, PDCA, 7 s, TPM e Quatro olhos. 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Libera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de novas maquinas junto 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à à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 de processo (Tryout)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Trabalho diretam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ente com Fornecedores, empresas 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terceirizadas, compra de materiais de reposi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o.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Trabalhando diretamente com processo fabril, desenvolvendo projetos de melhoria para aumento da produtividade e ergonomia, trabalhando efetivamente com, LEAN, 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CCQ e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KAIZEN</w:t>
            </w:r>
            <w:r w:rsidR="00BF51B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:rsidR="00BF51BD" w:rsidRPr="00A26F5C" w:rsidRDefault="00BF51BD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Atuando como líder de manutenção, distribuição de ordens de serviço entre os técnicos mecânicos e eletrônicos e acompanhamento da produção no chão de fabrica quanto a paradas dos equipamentos.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gridSpan w:val="4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1254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Empresa: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926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DHB Componentes Automotivos </w:t>
            </w:r>
            <w:r w:rsidR="00A8786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1254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Cargo: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Mec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â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nico de Manuten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çã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Industrial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1254" w:type="dxa"/>
            <w:vAlign w:val="center"/>
            <w:hideMark/>
          </w:tcPr>
          <w:p w:rsidR="00A26F5C" w:rsidRPr="00A26F5C" w:rsidRDefault="00A26F5C" w:rsidP="005E2CF8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36" w:type="dxa"/>
            <w:gridSpan w:val="2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26F5C" w:rsidRPr="00A26F5C" w:rsidTr="00A26F5C">
        <w:trPr>
          <w:tblCellSpacing w:w="22" w:type="dxa"/>
        </w:trPr>
        <w:tc>
          <w:tcPr>
            <w:tcW w:w="1254" w:type="dxa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Per</w:t>
            </w:r>
            <w:r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í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odo: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05/1986 at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é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11/1994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1254" w:type="dxa"/>
            <w:hideMark/>
          </w:tcPr>
          <w:p w:rsidR="00E267D5" w:rsidRDefault="00E267D5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A26F5C" w:rsidRPr="00A26F5C" w:rsidRDefault="00A26F5C" w:rsidP="00E267D5">
            <w:pPr>
              <w:spacing w:before="20" w:after="20" w:line="33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Atribui</w:t>
            </w:r>
            <w:r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pt-BR"/>
              </w:rPr>
              <w:t>çõ</w:t>
            </w:r>
            <w:r w:rsidRPr="00A26F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 do cargo: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267D5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E267D5" w:rsidRDefault="00E267D5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Atividades relacionadas a manuten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çõ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 corretivas de maquinas operatrizes tais como, tornos mec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â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nicos, tornos revolveres e comandos num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é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ricos (CNC), retificas cil</w:t>
            </w:r>
            <w:r>
              <w:rPr>
                <w:rFonts w:ascii="Tahoma" w:eastAsia="Times New Roman" w:hAnsi="Tahoma" w:cs="Arial"/>
                <w:sz w:val="24"/>
                <w:szCs w:val="24"/>
                <w:lang w:eastAsia="pt-BR"/>
              </w:rPr>
              <w:t>í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ndricas e </w:t>
            </w: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centerles, fresadoras universais, centros de usinagem HELLER, WOTAN, BRE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VET BUGAR</w:t>
            </w:r>
          </w:p>
        </w:tc>
      </w:tr>
      <w:tr w:rsidR="00A26F5C" w:rsidRPr="00A26F5C" w:rsidTr="00A26F5C">
        <w:trPr>
          <w:tblCellSpacing w:w="22" w:type="dxa"/>
        </w:trPr>
        <w:tc>
          <w:tcPr>
            <w:tcW w:w="0" w:type="auto"/>
            <w:gridSpan w:val="4"/>
            <w:vAlign w:val="center"/>
            <w:hideMark/>
          </w:tcPr>
          <w:p w:rsidR="00A26F5C" w:rsidRPr="00A26F5C" w:rsidRDefault="00A26F5C" w:rsidP="00E267D5">
            <w:pPr>
              <w:spacing w:before="20" w:after="20" w:line="33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26F5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:rsidR="00A26F5C" w:rsidRPr="00A26F5C" w:rsidRDefault="00A26F5C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CURSOS E ESPECIALIZA</w:t>
      </w:r>
      <w:r>
        <w:rPr>
          <w:rFonts w:ascii="Tahoma" w:eastAsia="Times New Roman" w:hAnsi="Tahoma" w:cs="Arial"/>
          <w:b/>
          <w:bCs/>
          <w:color w:val="444444"/>
          <w:sz w:val="24"/>
          <w:szCs w:val="24"/>
          <w:lang w:eastAsia="pt-BR"/>
        </w:rPr>
        <w:t>ÇÕ</w:t>
      </w: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ES</w:t>
      </w:r>
    </w:p>
    <w:p w:rsidR="00A26F5C" w:rsidRDefault="00EC42A2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lastRenderedPageBreak/>
        <w:t xml:space="preserve"> 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-Mec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â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nica Geral 1600 horas (Senai)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-Manuten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çã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 em M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á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quinas CNC CHIRON FZ12W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-Manuten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çã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 de Maquinas WOTAN H2 e VT18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-Manuten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çã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 de maquinas MAZAK QTN100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-Opera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çã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 e Seguran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ç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 de Empilhadeira (Senai)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-Comandos Pneum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á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ticos B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á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sicos (Senai)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-Comandos Pneum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á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ticos Automa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çã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 (Senai)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-Hidr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á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ulica Industrial (Parker Training)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-Proporcionais e Servos-sistemas (Hidrosistemas)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-Seguran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ç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 na Eletricidade e Manuten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çã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 (Senai)</w:t>
      </w:r>
    </w:p>
    <w:p w:rsidR="00A26F5C" w:rsidRPr="00A26F5C" w:rsidRDefault="00EC42A2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-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Supervisor de Espaço Confinado, NR33, (GKN)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                       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-AutoCAD R12 B</w:t>
      </w:r>
      <w:r w:rsidR="00A26F5C"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á</w:t>
      </w:r>
      <w:r w:rsidR="00A26F5C"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sico (Workspace)</w:t>
      </w:r>
    </w:p>
    <w:p w:rsidR="00EC42A2" w:rsidRDefault="00EC42A2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</w:p>
    <w:p w:rsidR="00A26F5C" w:rsidRPr="00A26F5C" w:rsidRDefault="00A26F5C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RESUMO DO CURR</w:t>
      </w:r>
      <w:r>
        <w:rPr>
          <w:rFonts w:ascii="Tahoma" w:eastAsia="Times New Roman" w:hAnsi="Tahoma" w:cs="Arial"/>
          <w:b/>
          <w:bCs/>
          <w:color w:val="444444"/>
          <w:sz w:val="24"/>
          <w:szCs w:val="24"/>
          <w:lang w:eastAsia="pt-BR"/>
        </w:rPr>
        <w:t>Í</w:t>
      </w:r>
      <w:r w:rsidRPr="00A26F5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CULO</w:t>
      </w:r>
    </w:p>
    <w:p w:rsidR="00A26F5C" w:rsidRPr="00A26F5C" w:rsidRDefault="00A26F5C" w:rsidP="00E267D5">
      <w:pPr>
        <w:shd w:val="clear" w:color="auto" w:fill="FFFFFF"/>
        <w:spacing w:before="20" w:after="20" w:line="33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Durante anos trabalhando no setor metalmec</w:t>
      </w:r>
      <w:r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â</w:t>
      </w:r>
      <w:r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nico, pude aprimorar meus </w:t>
      </w:r>
      <w:r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br/>
        <w:t>conhecimentos e ampliar minhas metas. Sempre busco novos desafios, para que eu n</w:t>
      </w:r>
      <w:r>
        <w:rPr>
          <w:rFonts w:ascii="Tahoma" w:eastAsia="Times New Roman" w:hAnsi="Tahoma" w:cs="Arial"/>
          <w:color w:val="444444"/>
          <w:sz w:val="24"/>
          <w:szCs w:val="24"/>
          <w:lang w:eastAsia="pt-BR"/>
        </w:rPr>
        <w:t>ã</w:t>
      </w:r>
      <w:r w:rsidRPr="00A26F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 pare meu ciclo de aprendizagem.</w:t>
      </w:r>
    </w:p>
    <w:p w:rsidR="00A26F5C" w:rsidRPr="00A26F5C" w:rsidRDefault="00A26F5C" w:rsidP="00E267D5">
      <w:pPr>
        <w:shd w:val="clear" w:color="auto" w:fill="FFFFFF"/>
        <w:spacing w:before="20" w:after="2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sectPr w:rsidR="00A26F5C" w:rsidRPr="00A26F5C" w:rsidSect="00FB2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26F5C"/>
    <w:rsid w:val="00025EB9"/>
    <w:rsid w:val="00196029"/>
    <w:rsid w:val="003157ED"/>
    <w:rsid w:val="003F410A"/>
    <w:rsid w:val="004B3E1A"/>
    <w:rsid w:val="005362E0"/>
    <w:rsid w:val="005E2CF8"/>
    <w:rsid w:val="006620D3"/>
    <w:rsid w:val="0071770A"/>
    <w:rsid w:val="00720841"/>
    <w:rsid w:val="00722FF7"/>
    <w:rsid w:val="00742CC4"/>
    <w:rsid w:val="007F2224"/>
    <w:rsid w:val="00A11CF0"/>
    <w:rsid w:val="00A26F5C"/>
    <w:rsid w:val="00A87861"/>
    <w:rsid w:val="00AE4F44"/>
    <w:rsid w:val="00B11413"/>
    <w:rsid w:val="00BF51BD"/>
    <w:rsid w:val="00DE3B71"/>
    <w:rsid w:val="00E267D5"/>
    <w:rsid w:val="00E64133"/>
    <w:rsid w:val="00EB7265"/>
    <w:rsid w:val="00EC42A2"/>
    <w:rsid w:val="00F769C8"/>
    <w:rsid w:val="00FA4E7A"/>
    <w:rsid w:val="00FB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2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cxnometitulotexto18">
    <w:name w:val="ecxnometitulotexto18"/>
    <w:basedOn w:val="Fontepargpadro"/>
    <w:rsid w:val="00A26F5C"/>
  </w:style>
  <w:style w:type="character" w:customStyle="1" w:styleId="apple-converted-space">
    <w:name w:val="apple-converted-space"/>
    <w:basedOn w:val="Fontepargpadro"/>
    <w:rsid w:val="00A26F5C"/>
  </w:style>
  <w:style w:type="character" w:customStyle="1" w:styleId="ecxtexto121">
    <w:name w:val="ecxtexto121"/>
    <w:basedOn w:val="Fontepargpadro"/>
    <w:rsid w:val="00A26F5C"/>
  </w:style>
  <w:style w:type="character" w:customStyle="1" w:styleId="ecxskypepnhprintcontainer">
    <w:name w:val="ecxskypepnhprintcontainer"/>
    <w:basedOn w:val="Fontepargpadro"/>
    <w:rsid w:val="00A26F5C"/>
  </w:style>
  <w:style w:type="character" w:customStyle="1" w:styleId="ecxskypepnhcontainer">
    <w:name w:val="ecxskypepnhcontainer"/>
    <w:basedOn w:val="Fontepargpadro"/>
    <w:rsid w:val="00A26F5C"/>
  </w:style>
  <w:style w:type="character" w:customStyle="1" w:styleId="ecxskypepnhleftspan">
    <w:name w:val="ecxskypepnhleftspan"/>
    <w:basedOn w:val="Fontepargpadro"/>
    <w:rsid w:val="00A26F5C"/>
  </w:style>
  <w:style w:type="character" w:customStyle="1" w:styleId="ecxskypepnhdropartflagspan">
    <w:name w:val="ecxskypepnhdropartflagspan"/>
    <w:basedOn w:val="Fontepargpadro"/>
    <w:rsid w:val="00A26F5C"/>
  </w:style>
  <w:style w:type="character" w:customStyle="1" w:styleId="ecxskypepnhdropartspan">
    <w:name w:val="ecxskypepnhdropartspan"/>
    <w:basedOn w:val="Fontepargpadro"/>
    <w:rsid w:val="00A26F5C"/>
  </w:style>
  <w:style w:type="character" w:customStyle="1" w:styleId="ecxskypepnhtextspan">
    <w:name w:val="ecxskypepnhtextspan"/>
    <w:basedOn w:val="Fontepargpadro"/>
    <w:rsid w:val="00A26F5C"/>
  </w:style>
  <w:style w:type="character" w:customStyle="1" w:styleId="ecxskypepnhrightspan">
    <w:name w:val="ecxskypepnhrightspan"/>
    <w:basedOn w:val="Fontepargpadro"/>
    <w:rsid w:val="00A26F5C"/>
  </w:style>
  <w:style w:type="character" w:customStyle="1" w:styleId="ecxspelle">
    <w:name w:val="ecxspelle"/>
    <w:basedOn w:val="Fontepargpadro"/>
    <w:rsid w:val="00A26F5C"/>
  </w:style>
  <w:style w:type="paragraph" w:styleId="Textodebalo">
    <w:name w:val="Balloon Text"/>
    <w:basedOn w:val="Normal"/>
    <w:link w:val="TextodebaloChar"/>
    <w:uiPriority w:val="99"/>
    <w:semiHidden/>
    <w:unhideWhenUsed/>
    <w:rsid w:val="00FA4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1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divBdr>
                              <w:divsChild>
                                <w:div w:id="192329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76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1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0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7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5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9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3326">
              <w:marLeft w:val="0"/>
              <w:marRight w:val="0"/>
              <w:marTop w:val="0"/>
              <w:marBottom w:val="0"/>
              <w:divBdr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divBdr>
              <w:divsChild>
                <w:div w:id="11361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815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15</cp:revision>
  <dcterms:created xsi:type="dcterms:W3CDTF">2013-04-29T10:37:00Z</dcterms:created>
  <dcterms:modified xsi:type="dcterms:W3CDTF">2014-11-15T19:27:00Z</dcterms:modified>
</cp:coreProperties>
</file>