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0"/>
          <w:color w:val="0000ff"/>
          <w:sz w:val="56"/>
          <w:rtl w:val="0"/>
        </w:rPr>
        <w:t xml:space="preserve">Raquel da Cunha Soares</w:t>
      </w:r>
      <w:r w:rsidRPr="00000000" w:rsidR="00000000" w:rsidDel="00000000">
        <w:rPr>
          <w:rFonts w:cs="Calibri" w:hAnsi="Calibri" w:eastAsia="Calibri" w:ascii="Calibri"/>
          <w:b w:val="0"/>
          <w:sz w:val="5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Izidoro Meneghini Neto 77 – Augusta, Viamão – RS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Fone: (51) 9250-5894 - 3444-1273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raquel_c.soares@hotmail.com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Data de nascimento: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27/10/1990          </w:t>
      </w: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Idade: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2</w:t>
      </w:r>
      <w:r w:rsidRPr="00000000" w:rsidR="00000000" w:rsidDel="00000000">
        <w:rPr>
          <w:sz w:val="26"/>
          <w:rtl w:val="0"/>
        </w:rPr>
        <w:t xml:space="preserve">4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 anos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Nacionalidade: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Brasileira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Naturalidade: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Viamão - RS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Estado civil: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Solteira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CPF: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017.019.380-22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*CARGO PRETENDIDO: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Técnico em Química / Controle de Qualidade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u w:val="single"/>
          <w:rtl w:val="0"/>
        </w:rPr>
        <w:t xml:space="preserve">Formação: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TÉCNICO EM QUÍMICA - ETCR-ESCOLA TÉCNICA CRISTO REDENTOR -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Previsão de Término: 08/2015 </w:t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b w:val="1"/>
          <w:sz w:val="26"/>
          <w:rtl w:val="0"/>
        </w:rPr>
        <w:t xml:space="preserve">INGLÊS BÁSICO -</w:t>
      </w:r>
      <w:r w:rsidRPr="00000000" w:rsidR="00000000" w:rsidDel="00000000">
        <w:rPr>
          <w:sz w:val="26"/>
          <w:rtl w:val="0"/>
        </w:rPr>
        <w:t xml:space="preserve"> </w:t>
      </w:r>
      <w:r w:rsidRPr="00000000" w:rsidR="00000000" w:rsidDel="00000000">
        <w:rPr>
          <w:b w:val="1"/>
          <w:sz w:val="26"/>
          <w:rtl w:val="0"/>
        </w:rPr>
        <w:t xml:space="preserve">YÁZIGI - </w:t>
      </w:r>
      <w:r w:rsidRPr="00000000" w:rsidR="00000000" w:rsidDel="00000000">
        <w:rPr>
          <w:sz w:val="26"/>
          <w:rtl w:val="0"/>
        </w:rPr>
        <w:t xml:space="preserve">Previsão de Término: 12/2015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Curso de Informática: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Windows, Word, Excel, Power Point.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u w:val="single"/>
          <w:rtl w:val="0"/>
        </w:rPr>
        <w:t xml:space="preserve">Experiência Profissional: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LOJAS RENNER S/A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ASSISTENTE DE TESOURARIA CSC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Período: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10/2013 </w:t>
      </w:r>
      <w:r w:rsidRPr="00000000" w:rsidR="00000000" w:rsidDel="00000000">
        <w:rPr>
          <w:sz w:val="26"/>
          <w:rtl w:val="0"/>
        </w:rPr>
        <w:t xml:space="preserve">à 02/2015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Atividades desenvolvidas: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Responsável pelo fechamento e monitoramento de cinco tesourarias; Correções de erros sistemáticos; Controle de tef's; </w:t>
      </w:r>
      <w:r w:rsidRPr="00000000" w:rsidR="00000000" w:rsidDel="00000000">
        <w:rPr>
          <w:sz w:val="26"/>
          <w:rtl w:val="0"/>
        </w:rPr>
        <w:t xml:space="preserve">Controle de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 </w:t>
      </w:r>
      <w:r w:rsidRPr="00000000" w:rsidR="00000000" w:rsidDel="00000000">
        <w:rPr>
          <w:sz w:val="26"/>
          <w:rtl w:val="0"/>
        </w:rPr>
        <w:t xml:space="preserve">entrada e saída de 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numerário.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TESOUREIRO DE LOJA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(Cargo antes da promoção à Assistente de Tesouraria CSC)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Período: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11/2012 à 10/2013  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Atividades desenvolvidas: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Fechamento de caixas; Depósitos bancários; Organização e arquivo de documentação;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Controle de cheques, tef's e numerários.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OPERADORA DE CAIXA  (Cargo inicial antes da promoção à Tesoureiro de Loja)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Período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: 06/2010 à 11/2012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Atividades desenvolvidas: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Atendimento ao cliente; Venda de produtos financeiros; Organização do setor;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Manutenção de equipamentos; Fechamento de caixa. </w:t>
      </w: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CIA ZAFFARI COMÉRCIO E INDÚSTRIA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OPERADOR DE CAIXA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Período: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10/2008 à 12/2009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Atividades desenvolvidas: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 </w:t>
      </w:r>
      <w:r w:rsidRPr="00000000" w:rsidR="00000000" w:rsidDel="00000000">
        <w:rPr>
          <w:rFonts w:cs="Calibri" w:hAnsi="Calibri" w:eastAsia="Calibri" w:ascii="Calibri"/>
          <w:b w:val="0"/>
          <w:sz w:val="26"/>
          <w:rtl w:val="0"/>
        </w:rPr>
        <w:t xml:space="preserve">Atendimento ao cliente; Organização do setor; Fechamento de caixa.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Obs.: Disponibilidade total de horários.</w:t>
      </w: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