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José Trigueiro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Design Patterns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method pattern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\src\net\sf\freecol\server\ai\AIObject.java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561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\src\net\sf\freecol\common\model\FreeColSpecObject.java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8250" cy="22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\src\net\sf\freecol\server\ai\AIObject.java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2762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\src\net\sf\freecol\server\ai\AIPlayer.java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438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\src\net\sf\freecol\server\ai\MissionAIPlayer.java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9125" cy="2952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\src\net\sf\freecol\server\ai\EuropeanAIPlayer.java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5800" cy="323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Design Pattern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\src\net\sf\freecol\server\ai\MissionAIPlayer.java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5429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\src\net\sf\freecol\server\ai\EuropeanAIPlayer.java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9600" cy="4095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\src\net\sf\freecol\server\ai\NativeAIPlayer.java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4400" cy="34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Chain of Responsibility </w:t>
      </w:r>
      <w:r w:rsidDel="00000000" w:rsidR="00000000" w:rsidRPr="00000000">
        <w:rPr>
          <w:sz w:val="24"/>
          <w:szCs w:val="24"/>
          <w:rtl w:val="0"/>
        </w:rPr>
        <w:t xml:space="preserve">in \src\net\sf\freecol\server\ai\military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0225" cy="866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