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595959"/>
          <w:sz w:val="20"/>
          <w:szCs w:val="20"/>
        </w:rPr>
        <w:t xml:space="preserve">TECHNICAL REPORT</w:t>
      </w:r>
    </w:p>
    <w:p>
      <w:pPr>
        <w:spacing w:after="100"/>
        <w:jc w:val="center"/>
      </w:pPr>
      <w:r>
        <w:rPr>
          <w:b/>
          <w:bCs/>
          <w:color w:val="2E5AAC"/>
          <w:sz w:val="48"/>
          <w:szCs w:val="48"/>
        </w:rPr>
        <w:t xml:space="preserve">Azure Cloud Architecture</w:t>
      </w:r>
    </w:p>
    <w:p>
      <w:pPr>
        <w:spacing w:after="400"/>
        <w:jc w:val="center"/>
      </w:pPr>
      <w:r>
        <w:rPr>
          <w:i/>
          <w:iCs/>
          <w:color w:val="595959"/>
          <w:sz w:val="22"/>
          <w:szCs w:val="22"/>
        </w:rPr>
        <w:t xml:space="preserve">Asynchronous data management and real-time queries — Function Apps, Service Bus, Cosmos DB and API Management</w:t>
      </w:r>
    </w:p>
    <w:p>
      <w:pPr>
        <w:pBdr>
          <w:bottom w:val="single" w:color="2E5AAC" w:sz="6"/>
        </w:pBdr>
        <w:spacing w:after="300"/>
      </w:pPr>
      <w:r>
        <w:t xml:space="preserve"/>
      </w:r>
    </w:p>
    <w:p>
      <w:pPr>
        <w:pStyle w:val="Heading1"/>
        <w:spacing w:after="200" w:before="400"/>
      </w:pPr>
      <w:r>
        <w:rPr>
          <w:b/>
          <w:bCs/>
          <w:color w:val="2E5AAC"/>
          <w:sz w:val="30"/>
          <w:szCs w:val="30"/>
        </w:rPr>
        <w:t xml:space="preserve">1. Introduction and Objectives</w:t>
      </w:r>
    </w:p>
    <w:p>
      <w:pPr>
        <w:spacing w:after="160" w:line="300"/>
      </w:pPr>
      <w:r>
        <w:rPr>
          <w:sz w:val="22"/>
          <w:szCs w:val="22"/>
        </w:rPr>
        <w:t xml:space="preserve">This project consists of designing and implementing a cloud architecture on Microsoft Azure, built to handle two operation types separately and efficiently: asynchronous data writing and synchronous data querying. The main goal was to build a decoupled, scalable and resilient system, using a message-queue-based model for the write flow and direct synchronous calls for the read flow. The work started from designing the overall architecture and identifying the required components and their relationships, followed by provisioning the resources directly through the Azure portal. Claude was used to help generate the boilerplate code of the Function Apps and speed up development.</w:t>
      </w:r>
    </w:p>
    <w:p>
      <w:pPr>
        <w:pStyle w:val="Heading1"/>
        <w:spacing w:after="200" w:before="400"/>
      </w:pPr>
      <w:r>
        <w:rPr>
          <w:b/>
          <w:bCs/>
          <w:color w:val="2E5AAC"/>
          <w:sz w:val="30"/>
          <w:szCs w:val="30"/>
        </w:rPr>
        <w:t xml:space="preserve">2. Method and Build Order</w:t>
      </w:r>
    </w:p>
    <w:p>
      <w:pPr>
        <w:spacing w:after="160" w:line="300"/>
      </w:pPr>
      <w:r>
        <w:rPr>
          <w:sz w:val="22"/>
          <w:szCs w:val="22"/>
        </w:rPr>
        <w:t xml:space="preserve">The infrastructure was built incrementally, starting from the logical resource container and moving down to the individual application components, in the following order:</w:t>
      </w:r>
    </w:p>
    <w:p>
      <w:pPr>
        <w:pStyle w:val="ListParagraph"/>
        <w:numPr>
          <w:ilvl w:val="0"/>
          <w:numId w:val="2"/>
        </w:numPr>
        <w:spacing w:after="100" w:line="280"/>
      </w:pPr>
      <w:r>
        <w:rPr>
          <w:b/>
          <w:bCs/>
          <w:sz w:val="22"/>
          <w:szCs w:val="22"/>
        </w:rPr>
        <w:t xml:space="preserve">1. Resource Group: </w:t>
      </w:r>
      <w:r>
        <w:rPr>
          <w:sz w:val="22"/>
          <w:szCs w:val="22"/>
        </w:rPr>
        <w:t xml:space="preserve">created as the logical container used to organize and centrally manage all project resources.</w:t>
      </w:r>
    </w:p>
    <w:p>
      <w:pPr>
        <w:pStyle w:val="ListParagraph"/>
        <w:numPr>
          <w:ilvl w:val="0"/>
          <w:numId w:val="2"/>
        </w:numPr>
        <w:spacing w:after="100" w:line="280"/>
      </w:pPr>
      <w:r>
        <w:rPr>
          <w:b/>
          <w:bCs/>
          <w:sz w:val="22"/>
          <w:szCs w:val="22"/>
        </w:rPr>
        <w:t xml:space="preserve">2. Service Bus: </w:t>
      </w:r>
      <w:r>
        <w:rPr>
          <w:sz w:val="22"/>
          <w:szCs w:val="22"/>
        </w:rPr>
        <w:t xml:space="preserve">provisioned as the messaging service supporting the asynchronous write flow.</w:t>
      </w:r>
    </w:p>
    <w:p>
      <w:pPr>
        <w:pStyle w:val="ListParagraph"/>
        <w:numPr>
          <w:ilvl w:val="0"/>
          <w:numId w:val="2"/>
        </w:numPr>
        <w:spacing w:after="100" w:line="280"/>
      </w:pPr>
      <w:r>
        <w:rPr>
          <w:b/>
          <w:bCs/>
          <w:sz w:val="22"/>
          <w:szCs w:val="22"/>
        </w:rPr>
        <w:t xml:space="preserve">3. Three Function Apps: </w:t>
      </w:r>
      <w:r>
        <w:rPr>
          <w:sz w:val="22"/>
          <w:szCs w:val="22"/>
        </w:rPr>
        <w:t xml:space="preserve">one for receiving input/queries from the gateway, and two for the one-directional write flow (publishing to the queue and consuming from the queue).</w:t>
      </w:r>
    </w:p>
    <w:p>
      <w:pPr>
        <w:pStyle w:val="ListParagraph"/>
        <w:numPr>
          <w:ilvl w:val="0"/>
          <w:numId w:val="2"/>
        </w:numPr>
        <w:spacing w:after="100" w:line="280"/>
      </w:pPr>
      <w:r>
        <w:rPr>
          <w:b/>
          <w:bCs/>
          <w:sz w:val="22"/>
          <w:szCs w:val="22"/>
        </w:rPr>
        <w:t xml:space="preserve">4. Function code generation: </w:t>
      </w:r>
      <w:r>
        <w:rPr>
          <w:sz w:val="22"/>
          <w:szCs w:val="22"/>
        </w:rPr>
        <w:t xml:space="preserve">generated with Claude's support to speed up development.</w:t>
      </w:r>
    </w:p>
    <w:p>
      <w:pPr>
        <w:pStyle w:val="ListParagraph"/>
        <w:numPr>
          <w:ilvl w:val="0"/>
          <w:numId w:val="2"/>
        </w:numPr>
        <w:spacing w:after="100" w:line="280"/>
      </w:pPr>
      <w:r>
        <w:rPr>
          <w:b/>
          <w:bCs/>
          <w:sz w:val="22"/>
          <w:szCs w:val="22"/>
        </w:rPr>
        <w:t xml:space="preserve">5. Cosmos DB: </w:t>
      </w:r>
      <w:r>
        <w:rPr>
          <w:sz w:val="22"/>
          <w:szCs w:val="22"/>
        </w:rPr>
        <w:t xml:space="preserve">provisioned in the cheapest available tier, directly from the resource.</w:t>
      </w:r>
    </w:p>
    <w:p>
      <w:pPr>
        <w:pStyle w:val="ListParagraph"/>
        <w:numPr>
          <w:ilvl w:val="0"/>
          <w:numId w:val="2"/>
        </w:numPr>
        <w:spacing w:after="100" w:line="280"/>
      </w:pPr>
      <w:r>
        <w:rPr>
          <w:b/>
          <w:bCs/>
          <w:sz w:val="22"/>
          <w:szCs w:val="22"/>
        </w:rPr>
        <w:t xml:space="preserve">6. API Management (APIM): </w:t>
      </w:r>
      <w:r>
        <w:rPr>
          <w:sz w:val="22"/>
          <w:szCs w:val="22"/>
        </w:rPr>
        <w:t xml:space="preserve">created and configured as the central gateway.</w:t>
      </w:r>
    </w:p>
    <w:p>
      <w:pPr>
        <w:pStyle w:val="ListParagraph"/>
        <w:numPr>
          <w:ilvl w:val="0"/>
          <w:numId w:val="2"/>
        </w:numPr>
        <w:spacing w:after="100" w:line="280"/>
      </w:pPr>
      <w:r>
        <w:rPr>
          <w:b/>
          <w:bCs/>
          <w:sz w:val="22"/>
          <w:szCs w:val="22"/>
        </w:rPr>
        <w:t xml:space="preserve">7. Web App: </w:t>
      </w:r>
      <w:r>
        <w:rPr>
          <w:sz w:val="22"/>
          <w:szCs w:val="22"/>
        </w:rPr>
        <w:t xml:space="preserve">connected to the APIM gateway, completing the end-to-end flow.</w:t>
      </w:r>
    </w:p>
    <w:p>
      <w:pPr>
        <w:pStyle w:val="Heading1"/>
        <w:spacing w:after="200" w:before="400"/>
      </w:pPr>
      <w:r>
        <w:rPr>
          <w:b/>
          <w:bCs/>
          <w:color w:val="2E5AAC"/>
          <w:sz w:val="30"/>
          <w:szCs w:val="30"/>
        </w:rPr>
        <w:t xml:space="preserve">3. Overall System Architecture</w:t>
      </w:r>
    </w:p>
    <w:p>
      <w:pPr>
        <w:spacing w:after="160" w:line="300"/>
      </w:pPr>
      <w:r>
        <w:rPr>
          <w:sz w:val="22"/>
          <w:szCs w:val="22"/>
        </w:rPr>
        <w:t xml:space="preserve">The base infrastructure consists of a Web App acting as the user interface, connected to an API Management (APIM) instance that acts as the central gateway for routing calls. From this gateway, two independent flows branch out: a queue-based write flow and a bidirectional, synchronous read (query) flow. This separation between writing and reading conceptually mirrors a CQRS (Command Query Responsibility Segregation) pattern, where state-changing operations are handled asynchronously through a queue, while read-only operations follow a direct, synchronous path to the database.</w:t>
      </w:r>
    </w:p>
    <w:p>
      <w:pPr>
        <w:pStyle w:val="Heading2"/>
        <w:spacing w:after="140" w:before="280"/>
      </w:pPr>
      <w:r>
        <w:rPr>
          <w:b/>
          <w:bCs/>
          <w:color w:val="222222"/>
          <w:sz w:val="24"/>
          <w:szCs w:val="24"/>
        </w:rPr>
        <w:t xml:space="preserve">3.1 Main Components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00"/>
      </w:tblGrid>
      <w:tr>
        <w:tc>
          <w:tcPr>
            <w:tcW w:type="dxa" w:w="4500"/>
            <w:shd w:fill="2E5AAC" w:val="clear"/>
            <w:tcMar>
              <w:top w:type="dxa" w:w="100"/>
              <w:left w:type="dxa" w:w="120"/>
              <w:bottom w:type="dxa" w:w="100"/>
              <w:right w:type="dxa" w:w="120"/>
            </w:tcMar>
          </w:tcPr>
          <w:p>
            <w:r>
              <w:rPr>
                <w:b/>
                <w:bCs/>
                <w:color w:val="FFFFFF"/>
                <w:sz w:val="21"/>
                <w:szCs w:val="21"/>
              </w:rPr>
              <w:t xml:space="preserve">Component</w:t>
            </w:r>
          </w:p>
        </w:tc>
        <w:tc>
          <w:tcPr>
            <w:tcW w:type="dxa" w:w="4500"/>
            <w:shd w:fill="2E5AAC" w:val="clear"/>
            <w:tcMar>
              <w:top w:type="dxa" w:w="100"/>
              <w:left w:type="dxa" w:w="120"/>
              <w:bottom w:type="dxa" w:w="100"/>
              <w:right w:type="dxa" w:w="120"/>
            </w:tcMar>
          </w:tcPr>
          <w:p>
            <w:r>
              <w:rPr>
                <w:b/>
                <w:bCs/>
                <w:color w:val="FFFFFF"/>
                <w:sz w:val="21"/>
                <w:szCs w:val="21"/>
              </w:rPr>
              <w:t xml:space="preserve">Azure Service</w:t>
            </w:r>
          </w:p>
        </w:tc>
        <w:tc>
          <w:tcPr>
            <w:tcW w:type="dxa" w:w="4500"/>
            <w:shd w:fill="2E5AAC" w:val="clear"/>
            <w:tcMar>
              <w:top w:type="dxa" w:w="100"/>
              <w:left w:type="dxa" w:w="120"/>
              <w:bottom w:type="dxa" w:w="100"/>
              <w:right w:type="dxa" w:w="120"/>
            </w:tcMar>
          </w:tcPr>
          <w:p>
            <w:r>
              <w:rPr>
                <w:b/>
                <w:bCs/>
                <w:color w:val="FFFFFF"/>
                <w:sz w:val="21"/>
                <w:szCs w:val="21"/>
              </w:rPr>
              <w:t xml:space="preserve">Role in the Architecture</w:t>
            </w:r>
          </w:p>
        </w:tc>
      </w:tr>
      <w:tr>
        <w:tc>
          <w:tcPr>
            <w:tcW w:type="dxa" w:w="4500"/>
            <w:tcMar>
              <w:top w:type="dxa" w:w="100"/>
              <w:left w:type="dxa" w:w="120"/>
              <w:bottom w:type="dxa" w:w="100"/>
              <w:right w:type="dxa" w:w="120"/>
            </w:tcMar>
          </w:tcPr>
          <w:p>
            <w:r>
              <w:rPr>
                <w:b w:val="false"/>
                <w:bCs w:val="false"/>
                <w:color w:val="000000"/>
                <w:sz w:val="21"/>
                <w:szCs w:val="21"/>
              </w:rPr>
              <w:t xml:space="preserve">User interface</w:t>
            </w:r>
          </w:p>
        </w:tc>
        <w:tc>
          <w:tcPr>
            <w:tcW w:type="dxa" w:w="4500"/>
            <w:tcMar>
              <w:top w:type="dxa" w:w="100"/>
              <w:left w:type="dxa" w:w="120"/>
              <w:bottom w:type="dxa" w:w="100"/>
              <w:right w:type="dxa" w:w="120"/>
            </w:tcMar>
          </w:tcPr>
          <w:p>
            <w:r>
              <w:rPr>
                <w:b w:val="false"/>
                <w:bCs w:val="false"/>
                <w:color w:val="000000"/>
                <w:sz w:val="21"/>
                <w:szCs w:val="21"/>
              </w:rPr>
              <w:t xml:space="preserve">Web App</w:t>
            </w:r>
          </w:p>
        </w:tc>
        <w:tc>
          <w:tcPr>
            <w:tcW w:type="dxa" w:w="4500"/>
            <w:tcMar>
              <w:top w:type="dxa" w:w="100"/>
              <w:left w:type="dxa" w:w="120"/>
              <w:bottom w:type="dxa" w:w="100"/>
              <w:right w:type="dxa" w:w="120"/>
            </w:tcMar>
          </w:tcPr>
          <w:p>
            <w:r>
              <w:rPr>
                <w:b w:val="false"/>
                <w:bCs w:val="false"/>
                <w:color w:val="000000"/>
                <w:sz w:val="21"/>
                <w:szCs w:val="21"/>
              </w:rPr>
              <w:t xml:space="preserve">Entry point for the end user.</w:t>
            </w:r>
          </w:p>
        </w:tc>
      </w:tr>
      <w:tr>
        <w:tc>
          <w:tcPr>
            <w:tcW w:type="dxa" w:w="4500"/>
            <w:tcMar>
              <w:top w:type="dxa" w:w="100"/>
              <w:left w:type="dxa" w:w="120"/>
              <w:bottom w:type="dxa" w:w="100"/>
              <w:right w:type="dxa" w:w="120"/>
            </w:tcMar>
          </w:tcPr>
          <w:p>
            <w:r>
              <w:rPr>
                <w:b w:val="false"/>
                <w:bCs w:val="false"/>
                <w:color w:val="000000"/>
                <w:sz w:val="21"/>
                <w:szCs w:val="21"/>
              </w:rPr>
              <w:t xml:space="preserve">Gateway</w:t>
            </w:r>
          </w:p>
        </w:tc>
        <w:tc>
          <w:tcPr>
            <w:tcW w:type="dxa" w:w="4500"/>
            <w:tcMar>
              <w:top w:type="dxa" w:w="100"/>
              <w:left w:type="dxa" w:w="120"/>
              <w:bottom w:type="dxa" w:w="100"/>
              <w:right w:type="dxa" w:w="120"/>
            </w:tcMar>
          </w:tcPr>
          <w:p>
            <w:r>
              <w:rPr>
                <w:b w:val="false"/>
                <w:bCs w:val="false"/>
                <w:color w:val="000000"/>
                <w:sz w:val="21"/>
                <w:szCs w:val="21"/>
              </w:rPr>
              <w:t xml:space="preserve">API Management (APIM)</w:t>
            </w:r>
          </w:p>
        </w:tc>
        <w:tc>
          <w:tcPr>
            <w:tcW w:type="dxa" w:w="4500"/>
            <w:tcMar>
              <w:top w:type="dxa" w:w="100"/>
              <w:left w:type="dxa" w:w="120"/>
              <w:bottom w:type="dxa" w:w="100"/>
              <w:right w:type="dxa" w:w="120"/>
            </w:tcMar>
          </w:tcPr>
          <w:p>
            <w:r>
              <w:rPr>
                <w:b w:val="false"/>
                <w:bCs w:val="false"/>
                <w:color w:val="000000"/>
                <w:sz w:val="21"/>
                <w:szCs w:val="21"/>
              </w:rPr>
              <w:t xml:space="preserve">Central routing of calls to the two flows (write/read).</w:t>
            </w:r>
          </w:p>
        </w:tc>
      </w:tr>
      <w:tr>
        <w:tc>
          <w:tcPr>
            <w:tcW w:type="dxa" w:w="4500"/>
            <w:tcMar>
              <w:top w:type="dxa" w:w="100"/>
              <w:left w:type="dxa" w:w="120"/>
              <w:bottom w:type="dxa" w:w="100"/>
              <w:right w:type="dxa" w:w="120"/>
            </w:tcMar>
          </w:tcPr>
          <w:p>
            <w:r>
              <w:rPr>
                <w:b w:val="false"/>
                <w:bCs w:val="false"/>
                <w:color w:val="000000"/>
                <w:sz w:val="21"/>
                <w:szCs w:val="21"/>
              </w:rPr>
              <w:t xml:space="preserve">Write reception</w:t>
            </w:r>
          </w:p>
        </w:tc>
        <w:tc>
          <w:tcPr>
            <w:tcW w:type="dxa" w:w="4500"/>
            <w:tcMar>
              <w:top w:type="dxa" w:w="100"/>
              <w:left w:type="dxa" w:w="120"/>
              <w:bottom w:type="dxa" w:w="100"/>
              <w:right w:type="dxa" w:w="120"/>
            </w:tcMar>
          </w:tcPr>
          <w:p>
            <w:r>
              <w:rPr>
                <w:b w:val="false"/>
                <w:bCs w:val="false"/>
                <w:color w:val="000000"/>
                <w:sz w:val="21"/>
                <w:szCs w:val="21"/>
              </w:rPr>
              <w:t xml:space="preserve">Function App (HTTP Trigger)</w:t>
            </w:r>
          </w:p>
        </w:tc>
        <w:tc>
          <w:tcPr>
            <w:tcW w:type="dxa" w:w="4500"/>
            <w:tcMar>
              <w:top w:type="dxa" w:w="100"/>
              <w:left w:type="dxa" w:w="120"/>
              <w:bottom w:type="dxa" w:w="100"/>
              <w:right w:type="dxa" w:w="120"/>
            </w:tcMar>
          </w:tcPr>
          <w:p>
            <w:r>
              <w:rPr>
                <w:b w:val="false"/>
                <w:bCs w:val="false"/>
                <w:color w:val="000000"/>
                <w:sz w:val="21"/>
                <w:szCs w:val="21"/>
              </w:rPr>
              <w:t xml:space="preserve">Receives incoming data and publishes it to the Service Bus queue.</w:t>
            </w:r>
          </w:p>
        </w:tc>
      </w:tr>
      <w:tr>
        <w:tc>
          <w:tcPr>
            <w:tcW w:type="dxa" w:w="4500"/>
            <w:tcMar>
              <w:top w:type="dxa" w:w="100"/>
              <w:left w:type="dxa" w:w="120"/>
              <w:bottom w:type="dxa" w:w="100"/>
              <w:right w:type="dxa" w:w="120"/>
            </w:tcMar>
          </w:tcPr>
          <w:p>
            <w:r>
              <w:rPr>
                <w:b w:val="false"/>
                <w:bCs w:val="false"/>
                <w:color w:val="000000"/>
                <w:sz w:val="21"/>
                <w:szCs w:val="21"/>
              </w:rPr>
              <w:t xml:space="preserve">Messaging</w:t>
            </w:r>
          </w:p>
        </w:tc>
        <w:tc>
          <w:tcPr>
            <w:tcW w:type="dxa" w:w="4500"/>
            <w:tcMar>
              <w:top w:type="dxa" w:w="100"/>
              <w:left w:type="dxa" w:w="120"/>
              <w:bottom w:type="dxa" w:w="100"/>
              <w:right w:type="dxa" w:w="120"/>
            </w:tcMar>
          </w:tcPr>
          <w:p>
            <w:r>
              <w:rPr>
                <w:b w:val="false"/>
                <w:bCs w:val="false"/>
                <w:color w:val="000000"/>
                <w:sz w:val="21"/>
                <w:szCs w:val="21"/>
              </w:rPr>
              <w:t xml:space="preserve">Service Bus (Queue)</w:t>
            </w:r>
          </w:p>
        </w:tc>
        <w:tc>
          <w:tcPr>
            <w:tcW w:type="dxa" w:w="4500"/>
            <w:tcMar>
              <w:top w:type="dxa" w:w="100"/>
              <w:left w:type="dxa" w:w="120"/>
              <w:bottom w:type="dxa" w:w="100"/>
              <w:right w:type="dxa" w:w="120"/>
            </w:tcMar>
          </w:tcPr>
          <w:p>
            <w:r>
              <w:rPr>
                <w:b w:val="false"/>
                <w:bCs w:val="false"/>
                <w:color w:val="000000"/>
                <w:sz w:val="21"/>
                <w:szCs w:val="21"/>
              </w:rPr>
              <w:t xml:space="preserve">Decouples data reception from persistence, ensuring reliability and processing order.</w:t>
            </w:r>
          </w:p>
        </w:tc>
      </w:tr>
      <w:tr>
        <w:tc>
          <w:tcPr>
            <w:tcW w:type="dxa" w:w="4500"/>
            <w:tcMar>
              <w:top w:type="dxa" w:w="100"/>
              <w:left w:type="dxa" w:w="120"/>
              <w:bottom w:type="dxa" w:w="100"/>
              <w:right w:type="dxa" w:w="120"/>
            </w:tcMar>
          </w:tcPr>
          <w:p>
            <w:r>
              <w:rPr>
                <w:b w:val="false"/>
                <w:bCs w:val="false"/>
                <w:color w:val="000000"/>
                <w:sz w:val="21"/>
                <w:szCs w:val="21"/>
              </w:rPr>
              <w:t xml:space="preserve">Data persistence</w:t>
            </w:r>
          </w:p>
        </w:tc>
        <w:tc>
          <w:tcPr>
            <w:tcW w:type="dxa" w:w="4500"/>
            <w:tcMar>
              <w:top w:type="dxa" w:w="100"/>
              <w:left w:type="dxa" w:w="120"/>
              <w:bottom w:type="dxa" w:w="100"/>
              <w:right w:type="dxa" w:w="120"/>
            </w:tcMar>
          </w:tcPr>
          <w:p>
            <w:r>
              <w:rPr>
                <w:b w:val="false"/>
                <w:bCs w:val="false"/>
                <w:color w:val="000000"/>
                <w:sz w:val="21"/>
                <w:szCs w:val="21"/>
              </w:rPr>
              <w:t xml:space="preserve">Function App (Service Bus Trigger)</w:t>
            </w:r>
          </w:p>
        </w:tc>
        <w:tc>
          <w:tcPr>
            <w:tcW w:type="dxa" w:w="4500"/>
            <w:tcMar>
              <w:top w:type="dxa" w:w="100"/>
              <w:left w:type="dxa" w:w="120"/>
              <w:bottom w:type="dxa" w:w="100"/>
              <w:right w:type="dxa" w:w="120"/>
            </w:tcMar>
          </w:tcPr>
          <w:p>
            <w:r>
              <w:rPr>
                <w:b w:val="false"/>
                <w:bCs w:val="false"/>
                <w:color w:val="000000"/>
                <w:sz w:val="21"/>
                <w:szCs w:val="21"/>
              </w:rPr>
              <w:t xml:space="preserve">Reads messages from the queue and writes/overwrites data in Cosmos DB.</w:t>
            </w:r>
          </w:p>
        </w:tc>
      </w:tr>
      <w:tr>
        <w:tc>
          <w:tcPr>
            <w:tcW w:type="dxa" w:w="4500"/>
            <w:tcMar>
              <w:top w:type="dxa" w:w="100"/>
              <w:left w:type="dxa" w:w="120"/>
              <w:bottom w:type="dxa" w:w="100"/>
              <w:right w:type="dxa" w:w="120"/>
            </w:tcMar>
          </w:tcPr>
          <w:p>
            <w:r>
              <w:rPr>
                <w:b w:val="false"/>
                <w:bCs w:val="false"/>
                <w:color w:val="000000"/>
                <w:sz w:val="21"/>
                <w:szCs w:val="21"/>
              </w:rPr>
              <w:t xml:space="preserve">Data query</w:t>
            </w:r>
          </w:p>
        </w:tc>
        <w:tc>
          <w:tcPr>
            <w:tcW w:type="dxa" w:w="4500"/>
            <w:tcMar>
              <w:top w:type="dxa" w:w="100"/>
              <w:left w:type="dxa" w:w="120"/>
              <w:bottom w:type="dxa" w:w="100"/>
              <w:right w:type="dxa" w:w="120"/>
            </w:tcMar>
          </w:tcPr>
          <w:p>
            <w:r>
              <w:rPr>
                <w:b w:val="false"/>
                <w:bCs w:val="false"/>
                <w:color w:val="000000"/>
                <w:sz w:val="21"/>
                <w:szCs w:val="21"/>
              </w:rPr>
              <w:t xml:space="preserve">Function App (HTTP Trigger)</w:t>
            </w:r>
          </w:p>
        </w:tc>
        <w:tc>
          <w:tcPr>
            <w:tcW w:type="dxa" w:w="4500"/>
            <w:tcMar>
              <w:top w:type="dxa" w:w="100"/>
              <w:left w:type="dxa" w:w="120"/>
              <w:bottom w:type="dxa" w:w="100"/>
              <w:right w:type="dxa" w:w="120"/>
            </w:tcMar>
          </w:tcPr>
          <w:p>
            <w:r>
              <w:rPr>
                <w:b w:val="false"/>
                <w:bCs w:val="false"/>
                <w:color w:val="000000"/>
                <w:sz w:val="21"/>
                <w:szCs w:val="21"/>
              </w:rPr>
              <w:t xml:space="preserve">Receives query parameters from the gateway and reads from Cosmos DB.</w:t>
            </w:r>
          </w:p>
        </w:tc>
      </w:tr>
      <w:tr>
        <w:tc>
          <w:tcPr>
            <w:tcW w:type="dxa" w:w="4500"/>
            <w:tcMar>
              <w:top w:type="dxa" w:w="100"/>
              <w:left w:type="dxa" w:w="120"/>
              <w:bottom w:type="dxa" w:w="100"/>
              <w:right w:type="dxa" w:w="120"/>
            </w:tcMar>
          </w:tcPr>
          <w:p>
            <w:r>
              <w:rPr>
                <w:b w:val="false"/>
                <w:bCs w:val="false"/>
                <w:color w:val="000000"/>
                <w:sz w:val="21"/>
                <w:szCs w:val="21"/>
              </w:rPr>
              <w:t xml:space="preserve">Database</w:t>
            </w:r>
          </w:p>
        </w:tc>
        <w:tc>
          <w:tcPr>
            <w:tcW w:type="dxa" w:w="4500"/>
            <w:tcMar>
              <w:top w:type="dxa" w:w="100"/>
              <w:left w:type="dxa" w:w="120"/>
              <w:bottom w:type="dxa" w:w="100"/>
              <w:right w:type="dxa" w:w="120"/>
            </w:tcMar>
          </w:tcPr>
          <w:p>
            <w:r>
              <w:rPr>
                <w:b w:val="false"/>
                <w:bCs w:val="false"/>
                <w:color w:val="000000"/>
                <w:sz w:val="21"/>
                <w:szCs w:val="21"/>
              </w:rPr>
              <w:t xml:space="preserve">Cosmos DB (Core/SQL API)</w:t>
            </w:r>
          </w:p>
        </w:tc>
        <w:tc>
          <w:tcPr>
            <w:tcW w:type="dxa" w:w="4500"/>
            <w:tcMar>
              <w:top w:type="dxa" w:w="100"/>
              <w:left w:type="dxa" w:w="120"/>
              <w:bottom w:type="dxa" w:w="100"/>
              <w:right w:type="dxa" w:w="120"/>
            </w:tcMar>
          </w:tcPr>
          <w:p>
            <w:r>
              <w:rPr>
                <w:b w:val="false"/>
                <w:bCs w:val="false"/>
                <w:color w:val="000000"/>
                <w:sz w:val="21"/>
                <w:szCs w:val="21"/>
              </w:rPr>
              <w:t xml:space="preserve">NoSQL data store, queried with SQL-like syntax via the Core (SQL) API.</w:t>
            </w:r>
          </w:p>
        </w:tc>
      </w:tr>
    </w:tbl>
    <w:p>
      <w:pPr>
        <w:spacing w:after="160" w:line="300"/>
      </w:pPr>
      <w:r>
        <w:rPr>
          <w:sz w:val="22"/>
          <w:szCs w:val="22"/>
        </w:rPr>
        <w:t xml:space="preserve"/>
      </w:r>
    </w:p>
    <w:p>
      <w:pPr>
        <w:pStyle w:val="Heading1"/>
        <w:spacing w:after="200" w:before="400"/>
      </w:pPr>
      <w:r>
        <w:rPr>
          <w:b/>
          <w:bCs/>
          <w:color w:val="2E5AAC"/>
          <w:sz w:val="30"/>
          <w:szCs w:val="30"/>
        </w:rPr>
        <w:t xml:space="preserve">4. Write Flow (Queue-Based)</w:t>
      </w:r>
    </w:p>
    <w:p>
      <w:pPr>
        <w:spacing w:after="160" w:line="300"/>
      </w:pPr>
      <w:r>
        <w:rPr>
          <w:sz w:val="22"/>
          <w:szCs w:val="22"/>
        </w:rPr>
        <w:t xml:space="preserve">The write flow is designed to handle data insertion and updates asynchronously and in a decoupled way, so the caller doesn't have to wait for the persistence operation to complete:</w:t>
      </w:r>
    </w:p>
    <w:p>
      <w:pPr>
        <w:pStyle w:val="ListParagraph"/>
        <w:numPr>
          <w:ilvl w:val="0"/>
          <w:numId w:val="2"/>
        </w:numPr>
        <w:spacing w:after="100" w:line="280"/>
      </w:pPr>
      <w:r>
        <w:rPr>
          <w:b/>
          <w:bCs/>
          <w:sz w:val="22"/>
          <w:szCs w:val="22"/>
        </w:rPr>
        <w:t xml:space="preserve">Step 1: </w:t>
      </w:r>
      <w:r>
        <w:rPr>
          <w:sz w:val="22"/>
          <w:szCs w:val="22"/>
        </w:rPr>
        <w:t xml:space="preserve">the APIM gateway routes the write request to the first Function App, triggered via HTTP.</w:t>
      </w:r>
    </w:p>
    <w:p>
      <w:pPr>
        <w:pStyle w:val="ListParagraph"/>
        <w:numPr>
          <w:ilvl w:val="0"/>
          <w:numId w:val="2"/>
        </w:numPr>
        <w:spacing w:after="100" w:line="280"/>
      </w:pPr>
      <w:r>
        <w:rPr>
          <w:b/>
          <w:bCs/>
          <w:sz w:val="22"/>
          <w:szCs w:val="22"/>
        </w:rPr>
        <w:t xml:space="preserve">Step 2: </w:t>
      </w:r>
      <w:r>
        <w:rPr>
          <w:sz w:val="22"/>
          <w:szCs w:val="22"/>
        </w:rPr>
        <w:t xml:space="preserve">this function receives the incoming data and publishes it as a message on the Service Bus queue, without interacting with the database directly.</w:t>
      </w:r>
    </w:p>
    <w:p>
      <w:pPr>
        <w:pStyle w:val="ListParagraph"/>
        <w:numPr>
          <w:ilvl w:val="0"/>
          <w:numId w:val="2"/>
        </w:numPr>
        <w:spacing w:after="100" w:line="280"/>
      </w:pPr>
      <w:r>
        <w:rPr>
          <w:b/>
          <w:bCs/>
          <w:sz w:val="22"/>
          <w:szCs w:val="22"/>
        </w:rPr>
        <w:t xml:space="preserve">Step 3: </w:t>
      </w:r>
      <w:r>
        <w:rPr>
          <w:sz w:val="22"/>
          <w:szCs w:val="22"/>
        </w:rPr>
        <w:t xml:space="preserve">a second Function App, triggered by the Service Bus, listens continuously on the queue.</w:t>
      </w:r>
    </w:p>
    <w:p>
      <w:pPr>
        <w:pStyle w:val="ListParagraph"/>
        <w:numPr>
          <w:ilvl w:val="0"/>
          <w:numId w:val="2"/>
        </w:numPr>
        <w:spacing w:after="100" w:line="280"/>
      </w:pPr>
      <w:r>
        <w:rPr>
          <w:b/>
          <w:bCs/>
          <w:sz w:val="22"/>
          <w:szCs w:val="22"/>
        </w:rPr>
        <w:t xml:space="preserve">Step 4: </w:t>
      </w:r>
      <w:r>
        <w:rPr>
          <w:sz w:val="22"/>
          <w:szCs w:val="22"/>
        </w:rPr>
        <w:t xml:space="preserve">as soon as a new message is available, the function picks it up and writes or overwrites the corresponding data in Cosmos DB.</w:t>
      </w:r>
    </w:p>
    <w:p>
      <w:pPr>
        <w:spacing w:after="160" w:line="300"/>
      </w:pPr>
      <w:r>
        <w:rPr>
          <w:sz w:val="22"/>
          <w:szCs w:val="22"/>
        </w:rPr>
        <w:t xml:space="preserve">This approach absorbs spikes in incoming requests without overloading the database, since the queue acts as a buffer between data reception and its actual persistence.</w:t>
      </w:r>
    </w:p>
    <w:p>
      <w:pPr>
        <w:pStyle w:val="Heading1"/>
        <w:spacing w:after="200" w:before="400"/>
      </w:pPr>
      <w:r>
        <w:rPr>
          <w:b/>
          <w:bCs/>
          <w:color w:val="2E5AAC"/>
          <w:sz w:val="30"/>
          <w:szCs w:val="30"/>
        </w:rPr>
        <w:t xml:space="preserve">5. Query Flow (Bidirectional)</w:t>
      </w:r>
    </w:p>
    <w:p>
      <w:pPr>
        <w:spacing w:after="160" w:line="300"/>
      </w:pPr>
      <w:r>
        <w:rPr>
          <w:sz w:val="22"/>
          <w:szCs w:val="22"/>
        </w:rPr>
        <w:t xml:space="preserve">The read flow is dedicated exclusively to data queries and does not go through the Service Bus, since it does not need decoupling: the response must be returned to the user within the same request cycle.</w:t>
      </w:r>
    </w:p>
    <w:p>
      <w:pPr>
        <w:pStyle w:val="ListParagraph"/>
        <w:numPr>
          <w:ilvl w:val="0"/>
          <w:numId w:val="2"/>
        </w:numPr>
        <w:spacing w:after="100" w:line="280"/>
      </w:pPr>
      <w:r>
        <w:rPr>
          <w:b/>
          <w:bCs/>
          <w:sz w:val="22"/>
          <w:szCs w:val="22"/>
        </w:rPr>
        <w:t xml:space="preserve">Step 1: </w:t>
      </w:r>
      <w:r>
        <w:rPr>
          <w:sz w:val="22"/>
          <w:szCs w:val="22"/>
        </w:rPr>
        <w:t xml:space="preserve">the APIM gateway routes the request to a third Function App, dedicated solely to queries.</w:t>
      </w:r>
    </w:p>
    <w:p>
      <w:pPr>
        <w:pStyle w:val="ListParagraph"/>
        <w:numPr>
          <w:ilvl w:val="0"/>
          <w:numId w:val="2"/>
        </w:numPr>
        <w:spacing w:after="100" w:line="280"/>
      </w:pPr>
      <w:r>
        <w:rPr>
          <w:b/>
          <w:bCs/>
          <w:sz w:val="22"/>
          <w:szCs w:val="22"/>
        </w:rPr>
        <w:t xml:space="preserve">Step 2: </w:t>
      </w:r>
      <w:r>
        <w:rPr>
          <w:sz w:val="22"/>
          <w:szCs w:val="22"/>
        </w:rPr>
        <w:t xml:space="preserve">the function receives the query parameters provided by the user through the gateway.</w:t>
      </w:r>
    </w:p>
    <w:p>
      <w:pPr>
        <w:pStyle w:val="ListParagraph"/>
        <w:numPr>
          <w:ilvl w:val="0"/>
          <w:numId w:val="2"/>
        </w:numPr>
        <w:spacing w:after="100" w:line="280"/>
      </w:pPr>
      <w:r>
        <w:rPr>
          <w:b/>
          <w:bCs/>
          <w:sz w:val="22"/>
          <w:szCs w:val="22"/>
        </w:rPr>
        <w:t xml:space="preserve">Step 3: </w:t>
      </w:r>
      <w:r>
        <w:rPr>
          <w:sz w:val="22"/>
          <w:szCs w:val="22"/>
        </w:rPr>
        <w:t xml:space="preserve">the data is retrieved from Cosmos DB via the Core (SQL) API, using SQL-like syntax despite Cosmos DB being a non-relational NoSQL database.</w:t>
      </w:r>
    </w:p>
    <w:p>
      <w:pPr>
        <w:pStyle w:val="ListParagraph"/>
        <w:numPr>
          <w:ilvl w:val="0"/>
          <w:numId w:val="2"/>
        </w:numPr>
        <w:spacing w:after="100" w:line="280"/>
      </w:pPr>
      <w:r>
        <w:rPr>
          <w:b/>
          <w:bCs/>
          <w:sz w:val="22"/>
          <w:szCs w:val="22"/>
        </w:rPr>
        <w:t xml:space="preserve">Step 4: </w:t>
      </w:r>
      <w:r>
        <w:rPr>
          <w:sz w:val="22"/>
          <w:szCs w:val="22"/>
        </w:rPr>
        <w:t xml:space="preserve">the result is returned to the user through the same bidirectional channel, back through APIM to the Web App.</w:t>
      </w:r>
    </w:p>
    <w:p>
      <w:pPr>
        <w:pStyle w:val="Heading1"/>
        <w:spacing w:after="200" w:before="400"/>
      </w:pPr>
      <w:r>
        <w:rPr>
          <w:b/>
          <w:bCs/>
          <w:color w:val="2E5AAC"/>
          <w:sz w:val="30"/>
          <w:szCs w:val="30"/>
        </w:rPr>
        <w:t xml:space="preserve">6. Technical Notes</w:t>
      </w:r>
    </w:p>
    <w:p>
      <w:pPr>
        <w:pStyle w:val="Heading2"/>
        <w:spacing w:after="140" w:before="280"/>
      </w:pPr>
      <w:r>
        <w:rPr>
          <w:b/>
          <w:bCs/>
          <w:color w:val="222222"/>
          <w:sz w:val="24"/>
          <w:szCs w:val="24"/>
        </w:rPr>
        <w:t xml:space="preserve">6.1 Separating Writes and Reads</w:t>
      </w:r>
    </w:p>
    <w:p>
      <w:pPr>
        <w:spacing w:after="160" w:line="300"/>
      </w:pPr>
      <w:r>
        <w:rPr>
          <w:sz w:val="22"/>
          <w:szCs w:val="22"/>
        </w:rPr>
        <w:t xml:space="preserve">Physically separating the two flows, assigning read and write responsibilities to distinct components, improves system maintainability and allows the two workload types to scale independently. The write flow gains extra resilience from the queue, which guarantees that no message is lost even if the persistence function is temporarily unavailable.</w:t>
      </w:r>
    </w:p>
    <w:p>
      <w:pPr>
        <w:pStyle w:val="Heading2"/>
        <w:spacing w:after="140" w:before="280"/>
      </w:pPr>
      <w:r>
        <w:rPr>
          <w:b/>
          <w:bCs/>
          <w:color w:val="222222"/>
          <w:sz w:val="24"/>
          <w:szCs w:val="24"/>
        </w:rPr>
        <w:t xml:space="preserve">6.2 Cosmos DB with the Core (SQL) API</w:t>
      </w:r>
    </w:p>
    <w:p>
      <w:pPr>
        <w:spacing w:after="160" w:line="300"/>
      </w:pPr>
      <w:r>
        <w:rPr>
          <w:sz w:val="22"/>
          <w:szCs w:val="22"/>
        </w:rPr>
        <w:t xml:space="preserve">Even though Cosmos DB is a document-oriented NoSQL database, using the Core (SQL) API allows querying the data with SQL-like syntax, simplifying development on the Function App side without resorting to proprietary query languages. The cheapest tier was chosen to keep development and testing costs down.</w:t>
      </w:r>
    </w:p>
    <w:p>
      <w:pPr>
        <w:pStyle w:val="Heading2"/>
        <w:spacing w:after="140" w:before="280"/>
      </w:pPr>
      <w:r>
        <w:rPr>
          <w:b/>
          <w:bCs/>
          <w:color w:val="222222"/>
          <w:sz w:val="24"/>
          <w:szCs w:val="24"/>
        </w:rPr>
        <w:t xml:space="preserve">6.3 AI-Assisted Code Generation</w:t>
      </w:r>
    </w:p>
    <w:p>
      <w:pPr>
        <w:spacing w:after="160" w:line="300"/>
      </w:pPr>
      <w:r>
        <w:rPr>
          <w:sz w:val="22"/>
          <w:szCs w:val="22"/>
        </w:rPr>
        <w:t xml:space="preserve">To speed up development of the three Function Apps, the application code was generated with Claude's assistance, reducing the time spent writing the boilerplate needed for HTTP and Service Bus trigger handling, while leaving the task of reviewing, adapting and integrating the generated code into the specific project context to the developer.</w:t>
      </w:r>
    </w:p>
    <w:p>
      <w:pPr>
        <w:pStyle w:val="Heading1"/>
        <w:spacing w:after="200" w:before="400"/>
      </w:pPr>
      <w:r>
        <w:rPr>
          <w:b/>
          <w:bCs/>
          <w:color w:val="2E5AAC"/>
          <w:sz w:val="30"/>
          <w:szCs w:val="30"/>
        </w:rPr>
        <w:t xml:space="preserve">7. Conclusions</w:t>
      </w:r>
    </w:p>
    <w:p>
      <w:pPr>
        <w:spacing w:after="160" w:line="300"/>
      </w:pPr>
      <w:r>
        <w:rPr>
          <w:sz w:val="22"/>
          <w:szCs w:val="22"/>
        </w:rPr>
        <w:t xml:space="preserve">The resulting architecture is a practical application of the write/read decoupling principles typical of asynchronous messaging patterns. Combining API Management, Function Apps, Service Bus and Cosmos DB made it possible to build a modular system where each component has a well-defined responsibility and can be modified, replaced or scaled independently of the others. This approach provides a solid foundation for future development, such as introducing more advanced validation on the write flow or caching on the read flow to improve performance.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2026-09-16T07:59:06.280Z</dcterms:created>
  <dcterms:modified xsi:type="dcterms:W3CDTF">2026-09-16T07:59:06.288Z</dcterms:modified>
</cp:coreProperties>
</file>

<file path=docProps/custom.xml><?xml version="1.0" encoding="utf-8"?>
<Properties xmlns="http://schemas.openxmlformats.org/officeDocument/2006/custom-properties" xmlns:vt="http://schemas.openxmlformats.org/officeDocument/2006/docPropsVTypes"/>
</file>