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71E7B" w14:textId="77777777" w:rsidR="008127C7" w:rsidRDefault="00000000">
      <w:pPr>
        <w:spacing w:after="60"/>
        <w:jc w:val="center"/>
      </w:pPr>
      <w:r>
        <w:rPr>
          <w:b/>
          <w:bCs/>
          <w:color w:val="595959"/>
        </w:rPr>
        <w:t>PROJECT REPORT</w:t>
      </w:r>
    </w:p>
    <w:p w14:paraId="07A91773" w14:textId="77777777" w:rsidR="008127C7" w:rsidRDefault="00000000">
      <w:pPr>
        <w:spacing w:after="100"/>
        <w:jc w:val="center"/>
      </w:pPr>
      <w:r>
        <w:rPr>
          <w:b/>
          <w:bCs/>
          <w:color w:val="2E5AAC"/>
          <w:sz w:val="56"/>
          <w:szCs w:val="56"/>
        </w:rPr>
        <w:t>New-Y</w:t>
      </w:r>
    </w:p>
    <w:p w14:paraId="7CF5442E" w14:textId="77777777" w:rsidR="008127C7" w:rsidRDefault="00000000">
      <w:pPr>
        <w:spacing w:after="400"/>
        <w:jc w:val="center"/>
      </w:pPr>
      <w:r>
        <w:rPr>
          <w:i/>
          <w:iCs/>
          <w:color w:val="595959"/>
          <w:sz w:val="22"/>
          <w:szCs w:val="22"/>
        </w:rPr>
        <w:t>ERP application built in Power Apps for client Horsa — integrated with Dynamics 365 Business Central and SharePoint</w:t>
      </w:r>
    </w:p>
    <w:p w14:paraId="68459BC2" w14:textId="77777777" w:rsidR="008127C7" w:rsidRDefault="008127C7">
      <w:pPr>
        <w:pBdr>
          <w:bottom w:val="single" w:sz="6" w:space="0" w:color="2E5AAC"/>
        </w:pBdr>
        <w:spacing w:after="300"/>
      </w:pPr>
    </w:p>
    <w:p w14:paraId="517555D7" w14:textId="77777777" w:rsidR="008127C7" w:rsidRDefault="00000000">
      <w:pPr>
        <w:pStyle w:val="Titolo1"/>
        <w:spacing w:before="400" w:after="200"/>
      </w:pPr>
      <w:r>
        <w:rPr>
          <w:b/>
          <w:bCs/>
          <w:color w:val="2E5AAC"/>
          <w:sz w:val="30"/>
          <w:szCs w:val="30"/>
        </w:rPr>
        <w:t>1. Introduction and Project Purpose</w:t>
      </w:r>
    </w:p>
    <w:p w14:paraId="1D6AF652" w14:textId="77777777" w:rsidR="008127C7" w:rsidRDefault="00000000">
      <w:pPr>
        <w:spacing w:after="160" w:line="300" w:lineRule="auto"/>
      </w:pPr>
      <w:r>
        <w:rPr>
          <w:sz w:val="22"/>
          <w:szCs w:val="22"/>
        </w:rPr>
        <w:t>New-Y is an ERP (Enterprise Resource Planning) application developed in Power Apps for the client Horsa. The project was built to digitalize and simplify the sales and customer management workflow, providing a single mobile/desktop interface that connects customer and inventory data managed in Dynamics 365 Business Central with an application layer built on Power Apps and SharePoint. The project was a central piece of the personal and internship portfolio, developed under a very tight delivery deadline.</w:t>
      </w:r>
    </w:p>
    <w:p w14:paraId="2B7859C5" w14:textId="77777777" w:rsidR="008127C7" w:rsidRDefault="00000000">
      <w:pPr>
        <w:pStyle w:val="Titolo1"/>
        <w:spacing w:before="400" w:after="200"/>
      </w:pPr>
      <w:r>
        <w:rPr>
          <w:b/>
          <w:bCs/>
          <w:color w:val="2E5AAC"/>
          <w:sz w:val="30"/>
          <w:szCs w:val="30"/>
        </w:rPr>
        <w:t>2. Architecture and Technologies Used</w:t>
      </w:r>
    </w:p>
    <w:p w14:paraId="431893F6" w14:textId="77777777" w:rsidR="008127C7" w:rsidRDefault="00000000">
      <w:pPr>
        <w:spacing w:after="160" w:line="300" w:lineRule="auto"/>
      </w:pPr>
      <w:r>
        <w:rPr>
          <w:sz w:val="22"/>
          <w:szCs w:val="22"/>
        </w:rPr>
        <w:t>The application relies on three main components, integrated with one another: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8127C7" w14:paraId="703E59D5" w14:textId="77777777">
        <w:tblPrEx>
          <w:tblCellMar>
            <w:top w:w="0" w:type="dxa"/>
            <w:bottom w:w="0" w:type="dxa"/>
          </w:tblCellMar>
        </w:tblPrEx>
        <w:tc>
          <w:tcPr>
            <w:tcW w:w="4500" w:type="dxa"/>
            <w:shd w:val="clear" w:color="auto" w:fill="2E5AAC"/>
            <w:tcMar>
              <w:top w:w="100" w:type="dxa"/>
              <w:left w:w="120" w:type="dxa"/>
              <w:bottom w:w="100" w:type="dxa"/>
              <w:right w:w="120" w:type="dxa"/>
            </w:tcMar>
          </w:tcPr>
          <w:p w14:paraId="20F12374" w14:textId="77777777" w:rsidR="008127C7" w:rsidRDefault="00000000">
            <w:r>
              <w:rPr>
                <w:b/>
                <w:bCs/>
                <w:color w:val="FFFFFF"/>
                <w:sz w:val="21"/>
                <w:szCs w:val="21"/>
              </w:rPr>
              <w:t>Technology</w:t>
            </w:r>
          </w:p>
        </w:tc>
        <w:tc>
          <w:tcPr>
            <w:tcW w:w="4500" w:type="dxa"/>
            <w:shd w:val="clear" w:color="auto" w:fill="2E5AAC"/>
            <w:tcMar>
              <w:top w:w="100" w:type="dxa"/>
              <w:left w:w="120" w:type="dxa"/>
              <w:bottom w:w="100" w:type="dxa"/>
              <w:right w:w="120" w:type="dxa"/>
            </w:tcMar>
          </w:tcPr>
          <w:p w14:paraId="5DE9DFDF" w14:textId="77777777" w:rsidR="008127C7" w:rsidRDefault="00000000">
            <w:r>
              <w:rPr>
                <w:b/>
                <w:bCs/>
                <w:color w:val="FFFFFF"/>
                <w:sz w:val="21"/>
                <w:szCs w:val="21"/>
              </w:rPr>
              <w:t>Role in the Project</w:t>
            </w:r>
          </w:p>
        </w:tc>
      </w:tr>
      <w:tr w:rsidR="008127C7" w14:paraId="37C5E344" w14:textId="77777777">
        <w:tblPrEx>
          <w:tblCellMar>
            <w:top w:w="0" w:type="dxa"/>
            <w:bottom w:w="0" w:type="dxa"/>
          </w:tblCellMar>
        </w:tblPrEx>
        <w:tc>
          <w:tcPr>
            <w:tcW w:w="4500" w:type="dxa"/>
            <w:tcMar>
              <w:top w:w="100" w:type="dxa"/>
              <w:left w:w="120" w:type="dxa"/>
              <w:bottom w:w="100" w:type="dxa"/>
              <w:right w:w="120" w:type="dxa"/>
            </w:tcMar>
          </w:tcPr>
          <w:p w14:paraId="230928D5" w14:textId="77777777" w:rsidR="008127C7" w:rsidRDefault="00000000">
            <w:r>
              <w:rPr>
                <w:color w:val="000000"/>
                <w:sz w:val="21"/>
                <w:szCs w:val="21"/>
              </w:rPr>
              <w:t>Power Apps (Canvas App)</w:t>
            </w:r>
          </w:p>
        </w:tc>
        <w:tc>
          <w:tcPr>
            <w:tcW w:w="4500" w:type="dxa"/>
            <w:tcMar>
              <w:top w:w="100" w:type="dxa"/>
              <w:left w:w="120" w:type="dxa"/>
              <w:bottom w:w="100" w:type="dxa"/>
              <w:right w:w="120" w:type="dxa"/>
            </w:tcMar>
          </w:tcPr>
          <w:p w14:paraId="31702EF3" w14:textId="77777777" w:rsidR="008127C7" w:rsidRDefault="00000000">
            <w:r>
              <w:rPr>
                <w:color w:val="000000"/>
                <w:sz w:val="21"/>
                <w:szCs w:val="21"/>
              </w:rPr>
              <w:t>Application/UI layer: navigation, forms, product gallery, order flow, notifications</w:t>
            </w:r>
          </w:p>
        </w:tc>
      </w:tr>
      <w:tr w:rsidR="008127C7" w14:paraId="39410058" w14:textId="77777777">
        <w:tblPrEx>
          <w:tblCellMar>
            <w:top w:w="0" w:type="dxa"/>
            <w:bottom w:w="0" w:type="dxa"/>
          </w:tblCellMar>
        </w:tblPrEx>
        <w:tc>
          <w:tcPr>
            <w:tcW w:w="4500" w:type="dxa"/>
            <w:tcMar>
              <w:top w:w="100" w:type="dxa"/>
              <w:left w:w="120" w:type="dxa"/>
              <w:bottom w:w="100" w:type="dxa"/>
              <w:right w:w="120" w:type="dxa"/>
            </w:tcMar>
          </w:tcPr>
          <w:p w14:paraId="3DAC6A04" w14:textId="77777777" w:rsidR="008127C7" w:rsidRDefault="00000000">
            <w:r>
              <w:rPr>
                <w:color w:val="000000"/>
                <w:sz w:val="21"/>
                <w:szCs w:val="21"/>
              </w:rPr>
              <w:t>Dynamics 365 Business Central</w:t>
            </w:r>
          </w:p>
        </w:tc>
        <w:tc>
          <w:tcPr>
            <w:tcW w:w="4500" w:type="dxa"/>
            <w:tcMar>
              <w:top w:w="100" w:type="dxa"/>
              <w:left w:w="120" w:type="dxa"/>
              <w:bottom w:w="100" w:type="dxa"/>
              <w:right w:w="120" w:type="dxa"/>
            </w:tcMar>
          </w:tcPr>
          <w:p w14:paraId="1A6BEBC7" w14:textId="77777777" w:rsidR="008127C7" w:rsidRDefault="00000000">
            <w:r>
              <w:rPr>
                <w:color w:val="000000"/>
                <w:sz w:val="21"/>
                <w:szCs w:val="21"/>
              </w:rPr>
              <w:t>Data source for customer/product records and stock levels</w:t>
            </w:r>
          </w:p>
        </w:tc>
      </w:tr>
      <w:tr w:rsidR="008127C7" w14:paraId="2F3DE611" w14:textId="77777777">
        <w:tblPrEx>
          <w:tblCellMar>
            <w:top w:w="0" w:type="dxa"/>
            <w:bottom w:w="0" w:type="dxa"/>
          </w:tblCellMar>
        </w:tblPrEx>
        <w:tc>
          <w:tcPr>
            <w:tcW w:w="4500" w:type="dxa"/>
            <w:tcMar>
              <w:top w:w="100" w:type="dxa"/>
              <w:left w:w="120" w:type="dxa"/>
              <w:bottom w:w="100" w:type="dxa"/>
              <w:right w:w="120" w:type="dxa"/>
            </w:tcMar>
          </w:tcPr>
          <w:p w14:paraId="0DB6FBA6" w14:textId="77777777" w:rsidR="008127C7" w:rsidRDefault="00000000">
            <w:r>
              <w:rPr>
                <w:color w:val="000000"/>
                <w:sz w:val="21"/>
                <w:szCs w:val="21"/>
              </w:rPr>
              <w:t>SharePoint (lists)</w:t>
            </w:r>
          </w:p>
        </w:tc>
        <w:tc>
          <w:tcPr>
            <w:tcW w:w="4500" w:type="dxa"/>
            <w:tcMar>
              <w:top w:w="100" w:type="dxa"/>
              <w:left w:w="120" w:type="dxa"/>
              <w:bottom w:w="100" w:type="dxa"/>
              <w:right w:w="120" w:type="dxa"/>
            </w:tcMar>
          </w:tcPr>
          <w:p w14:paraId="3FE0D450" w14:textId="77777777" w:rsidR="008127C7" w:rsidRDefault="00000000">
            <w:r>
              <w:rPr>
                <w:color w:val="000000"/>
                <w:sz w:val="21"/>
                <w:szCs w:val="21"/>
              </w:rPr>
              <w:t>Persistence layer for orders, user roles (UserRoles) and approval requests</w:t>
            </w:r>
          </w:p>
        </w:tc>
      </w:tr>
    </w:tbl>
    <w:p w14:paraId="74AFEE51" w14:textId="77777777" w:rsidR="008127C7" w:rsidRDefault="008127C7">
      <w:pPr>
        <w:spacing w:after="160" w:line="300" w:lineRule="auto"/>
      </w:pPr>
    </w:p>
    <w:p w14:paraId="1C5698F5" w14:textId="77777777" w:rsidR="008127C7" w:rsidRDefault="00000000">
      <w:pPr>
        <w:spacing w:after="160" w:line="300" w:lineRule="auto"/>
      </w:pPr>
      <w:r>
        <w:rPr>
          <w:sz w:val="22"/>
          <w:szCs w:val="22"/>
        </w:rPr>
        <w:t>A recurring technical theme throughout development was working with Power Fx under the Italian locale (semicolons as parameter separators, double semicolons ";;" for chaining multiple statements within the same command), as well as handling the "Dynamic" type coercion returned by SharePoint through the Value() function for numeric fields. Certain delegation limitations also required patterns based on local collections, populated with ClearCollect inside App.OnStart.</w:t>
      </w:r>
    </w:p>
    <w:p w14:paraId="4136A879" w14:textId="77777777" w:rsidR="008127C7" w:rsidRDefault="00000000">
      <w:pPr>
        <w:pStyle w:val="Titolo1"/>
        <w:spacing w:before="400" w:after="200"/>
      </w:pPr>
      <w:r>
        <w:rPr>
          <w:b/>
          <w:bCs/>
          <w:color w:val="2E5AAC"/>
          <w:sz w:val="30"/>
          <w:szCs w:val="30"/>
        </w:rPr>
        <w:t>3. Implemented Features</w:t>
      </w:r>
    </w:p>
    <w:p w14:paraId="68EA1002" w14:textId="77777777" w:rsidR="008127C7" w:rsidRDefault="00000000">
      <w:pPr>
        <w:pStyle w:val="Titolo2"/>
        <w:spacing w:before="280" w:after="140"/>
      </w:pPr>
      <w:r>
        <w:rPr>
          <w:b/>
          <w:bCs/>
          <w:color w:val="222222"/>
          <w:sz w:val="24"/>
          <w:szCs w:val="24"/>
        </w:rPr>
        <w:t>3.1 Authentication and Role-Based Navigation</w:t>
      </w:r>
    </w:p>
    <w:p w14:paraId="767505B3" w14:textId="77777777" w:rsidR="008127C7" w:rsidRDefault="00000000">
      <w:pPr>
        <w:pStyle w:val="Paragrafoelenco"/>
        <w:numPr>
          <w:ilvl w:val="0"/>
          <w:numId w:val="2"/>
        </w:numPr>
        <w:spacing w:after="100" w:line="280" w:lineRule="auto"/>
      </w:pPr>
      <w:r>
        <w:rPr>
          <w:b/>
          <w:bCs/>
          <w:sz w:val="22"/>
          <w:szCs w:val="22"/>
        </w:rPr>
        <w:t xml:space="preserve">Login and authentication: </w:t>
      </w:r>
      <w:r>
        <w:rPr>
          <w:sz w:val="22"/>
          <w:szCs w:val="22"/>
        </w:rPr>
        <w:t>login screen with authentication based on the SharePoint UserRoles list.</w:t>
      </w:r>
    </w:p>
    <w:p w14:paraId="0268903A" w14:textId="77777777" w:rsidR="008127C7" w:rsidRDefault="00000000">
      <w:pPr>
        <w:pStyle w:val="Paragrafoelenco"/>
        <w:numPr>
          <w:ilvl w:val="0"/>
          <w:numId w:val="2"/>
        </w:numPr>
        <w:spacing w:after="100" w:line="280" w:lineRule="auto"/>
      </w:pPr>
      <w:r>
        <w:rPr>
          <w:b/>
          <w:bCs/>
          <w:sz w:val="22"/>
          <w:szCs w:val="22"/>
        </w:rPr>
        <w:t xml:space="preserve">Loading screen: </w:t>
      </w:r>
      <w:r>
        <w:rPr>
          <w:sz w:val="22"/>
          <w:szCs w:val="22"/>
        </w:rPr>
        <w:t>loading screen with timer-based routing to the correct interface depending on the user's role.</w:t>
      </w:r>
    </w:p>
    <w:p w14:paraId="0071BFA4" w14:textId="77777777" w:rsidR="008127C7" w:rsidRDefault="00000000">
      <w:pPr>
        <w:pStyle w:val="Paragrafoelenco"/>
        <w:numPr>
          <w:ilvl w:val="0"/>
          <w:numId w:val="2"/>
        </w:numPr>
        <w:spacing w:after="100" w:line="280" w:lineRule="auto"/>
      </w:pPr>
      <w:r>
        <w:rPr>
          <w:b/>
          <w:bCs/>
          <w:sz w:val="22"/>
          <w:szCs w:val="22"/>
        </w:rPr>
        <w:t xml:space="preserve">Role-based navigation: </w:t>
      </w:r>
      <w:r>
        <w:rPr>
          <w:sz w:val="22"/>
          <w:szCs w:val="22"/>
        </w:rPr>
        <w:t>visibility and navigation managed through the varRuoloUtente variable, with three distinct profiles — Manager, Office and Agent.</w:t>
      </w:r>
    </w:p>
    <w:p w14:paraId="26D19D65" w14:textId="77777777" w:rsidR="008127C7" w:rsidRDefault="00000000">
      <w:pPr>
        <w:pStyle w:val="Paragrafoelenco"/>
        <w:numPr>
          <w:ilvl w:val="0"/>
          <w:numId w:val="2"/>
        </w:numPr>
        <w:spacing w:after="100" w:line="280" w:lineRule="auto"/>
      </w:pPr>
      <w:r>
        <w:rPr>
          <w:b/>
          <w:bCs/>
          <w:sz w:val="22"/>
          <w:szCs w:val="22"/>
        </w:rPr>
        <w:t xml:space="preserve">Hamburger menu: </w:t>
      </w:r>
      <w:r>
        <w:rPr>
          <w:sz w:val="22"/>
          <w:szCs w:val="22"/>
        </w:rPr>
        <w:t>side navigation menu shared across all main screens.</w:t>
      </w:r>
    </w:p>
    <w:p w14:paraId="528FF99C" w14:textId="77777777" w:rsidR="008127C7" w:rsidRDefault="00000000">
      <w:pPr>
        <w:pStyle w:val="Paragrafoelenco"/>
        <w:numPr>
          <w:ilvl w:val="0"/>
          <w:numId w:val="2"/>
        </w:numPr>
        <w:spacing w:after="100" w:line="280" w:lineRule="auto"/>
      </w:pPr>
      <w:r>
        <w:rPr>
          <w:b/>
          <w:bCs/>
          <w:sz w:val="22"/>
          <w:szCs w:val="22"/>
        </w:rPr>
        <w:t xml:space="preserve">Manager home screen: </w:t>
      </w:r>
      <w:r>
        <w:rPr>
          <w:sz w:val="22"/>
          <w:szCs w:val="22"/>
        </w:rPr>
        <w:t>landing screen for the Manager profile with a 2×2 card grid.</w:t>
      </w:r>
    </w:p>
    <w:p w14:paraId="7867BF21" w14:textId="77777777" w:rsidR="008127C7" w:rsidRDefault="00000000">
      <w:pPr>
        <w:pStyle w:val="Titolo2"/>
        <w:spacing w:before="280" w:after="140"/>
      </w:pPr>
      <w:r>
        <w:rPr>
          <w:b/>
          <w:bCs/>
          <w:color w:val="222222"/>
          <w:sz w:val="24"/>
          <w:szCs w:val="24"/>
        </w:rPr>
        <w:lastRenderedPageBreak/>
        <w:t>3.2 Product Catalog and Stock Management</w:t>
      </w:r>
    </w:p>
    <w:p w14:paraId="3F1C5B43" w14:textId="77777777" w:rsidR="008127C7" w:rsidRDefault="00000000">
      <w:pPr>
        <w:pStyle w:val="Paragrafoelenco"/>
        <w:numPr>
          <w:ilvl w:val="0"/>
          <w:numId w:val="2"/>
        </w:numPr>
        <w:spacing w:after="100" w:line="280" w:lineRule="auto"/>
      </w:pPr>
      <w:r>
        <w:rPr>
          <w:b/>
          <w:bCs/>
          <w:sz w:val="22"/>
          <w:szCs w:val="22"/>
        </w:rPr>
        <w:t xml:space="preserve">Product gallery: </w:t>
      </w:r>
      <w:r>
        <w:rPr>
          <w:sz w:val="22"/>
          <w:szCs w:val="22"/>
        </w:rPr>
        <w:t>grid view listing the available products.</w:t>
      </w:r>
    </w:p>
    <w:p w14:paraId="3DE5DFFF" w14:textId="77777777" w:rsidR="008127C7" w:rsidRDefault="00000000">
      <w:pPr>
        <w:pStyle w:val="Paragrafoelenco"/>
        <w:numPr>
          <w:ilvl w:val="0"/>
          <w:numId w:val="2"/>
        </w:numPr>
        <w:spacing w:after="100" w:line="280" w:lineRule="auto"/>
      </w:pPr>
      <w:r>
        <w:rPr>
          <w:b/>
          <w:bCs/>
          <w:sz w:val="22"/>
          <w:szCs w:val="22"/>
        </w:rPr>
        <w:t xml:space="preserve">Stock semaphore: </w:t>
      </w:r>
      <w:r>
        <w:rPr>
          <w:sz w:val="22"/>
          <w:szCs w:val="22"/>
        </w:rPr>
        <w:t>threshold-based color-coding system to quickly flag stock availability levels.</w:t>
      </w:r>
    </w:p>
    <w:p w14:paraId="36CF1E7E" w14:textId="77777777" w:rsidR="008127C7" w:rsidRDefault="00000000">
      <w:pPr>
        <w:pStyle w:val="Titolo2"/>
        <w:spacing w:before="280" w:after="140"/>
      </w:pPr>
      <w:r>
        <w:rPr>
          <w:b/>
          <w:bCs/>
          <w:color w:val="222222"/>
          <w:sz w:val="24"/>
          <w:szCs w:val="24"/>
        </w:rPr>
        <w:t>3.3 Order Flow</w:t>
      </w:r>
    </w:p>
    <w:p w14:paraId="42D18DFB" w14:textId="77777777" w:rsidR="008127C7" w:rsidRDefault="00000000">
      <w:pPr>
        <w:pStyle w:val="Paragrafoelenco"/>
        <w:numPr>
          <w:ilvl w:val="0"/>
          <w:numId w:val="2"/>
        </w:numPr>
        <w:spacing w:after="100" w:line="280" w:lineRule="auto"/>
      </w:pPr>
      <w:r>
        <w:rPr>
          <w:b/>
          <w:bCs/>
          <w:sz w:val="22"/>
          <w:szCs w:val="22"/>
        </w:rPr>
        <w:t xml:space="preserve">Customer selection: </w:t>
      </w:r>
      <w:r>
        <w:rPr>
          <w:sz w:val="22"/>
          <w:szCs w:val="22"/>
        </w:rPr>
        <w:t>entry point of the flow, where the customer for the order is chosen.</w:t>
      </w:r>
    </w:p>
    <w:p w14:paraId="7C40B796" w14:textId="77777777" w:rsidR="008127C7" w:rsidRDefault="00000000">
      <w:pPr>
        <w:pStyle w:val="Paragrafoelenco"/>
        <w:numPr>
          <w:ilvl w:val="0"/>
          <w:numId w:val="2"/>
        </w:numPr>
        <w:spacing w:after="100" w:line="280" w:lineRule="auto"/>
      </w:pPr>
      <w:r>
        <w:rPr>
          <w:b/>
          <w:bCs/>
          <w:sz w:val="22"/>
          <w:szCs w:val="22"/>
        </w:rPr>
        <w:t xml:space="preserve">Product cart: </w:t>
      </w:r>
      <w:r>
        <w:rPr>
          <w:sz w:val="22"/>
          <w:szCs w:val="22"/>
        </w:rPr>
        <w:t>adding selected products together with their quantities.</w:t>
      </w:r>
    </w:p>
    <w:p w14:paraId="59CFFACA" w14:textId="77777777" w:rsidR="008127C7" w:rsidRDefault="00000000">
      <w:pPr>
        <w:pStyle w:val="Paragrafoelenco"/>
        <w:numPr>
          <w:ilvl w:val="0"/>
          <w:numId w:val="2"/>
        </w:numPr>
        <w:spacing w:after="100" w:line="280" w:lineRule="auto"/>
      </w:pPr>
      <w:r>
        <w:rPr>
          <w:b/>
          <w:bCs/>
          <w:sz w:val="22"/>
          <w:szCs w:val="22"/>
        </w:rPr>
        <w:t xml:space="preserve">Confirmation and write to SharePoint: </w:t>
      </w:r>
      <w:r>
        <w:rPr>
          <w:sz w:val="22"/>
          <w:szCs w:val="22"/>
        </w:rPr>
        <w:t>the confirmed order is persisted as a new item in the dedicated SharePoint list.</w:t>
      </w:r>
    </w:p>
    <w:p w14:paraId="1AD4F69F" w14:textId="77777777" w:rsidR="008127C7" w:rsidRDefault="00000000">
      <w:pPr>
        <w:pStyle w:val="Titolo2"/>
        <w:spacing w:before="280" w:after="140"/>
      </w:pPr>
      <w:r>
        <w:rPr>
          <w:b/>
          <w:bCs/>
          <w:color w:val="222222"/>
          <w:sz w:val="24"/>
          <w:szCs w:val="24"/>
        </w:rPr>
        <w:t>3.4 Notifications and Approvals</w:t>
      </w:r>
    </w:p>
    <w:p w14:paraId="7705E010" w14:textId="77777777" w:rsidR="008127C7" w:rsidRDefault="00000000">
      <w:pPr>
        <w:pStyle w:val="Paragrafoelenco"/>
        <w:numPr>
          <w:ilvl w:val="0"/>
          <w:numId w:val="2"/>
        </w:numPr>
        <w:spacing w:after="100" w:line="280" w:lineRule="auto"/>
      </w:pPr>
      <w:r>
        <w:rPr>
          <w:b/>
          <w:bCs/>
          <w:sz w:val="22"/>
          <w:szCs w:val="22"/>
        </w:rPr>
        <w:t xml:space="preserve">Notification system: </w:t>
      </w:r>
      <w:r>
        <w:rPr>
          <w:sz w:val="22"/>
          <w:szCs w:val="22"/>
        </w:rPr>
        <w:t>centralized management of requests pending approval.</w:t>
      </w:r>
    </w:p>
    <w:p w14:paraId="3771CFC2" w14:textId="77777777" w:rsidR="008127C7" w:rsidRDefault="00000000">
      <w:pPr>
        <w:pStyle w:val="Paragrafoelenco"/>
        <w:numPr>
          <w:ilvl w:val="0"/>
          <w:numId w:val="2"/>
        </w:numPr>
        <w:spacing w:after="100" w:line="280" w:lineRule="auto"/>
      </w:pPr>
      <w:r>
        <w:rPr>
          <w:b/>
          <w:bCs/>
          <w:sz w:val="22"/>
          <w:szCs w:val="22"/>
        </w:rPr>
        <w:t xml:space="preserve">Three request types: </w:t>
      </w:r>
      <w:r>
        <w:rPr>
          <w:sz w:val="22"/>
          <w:szCs w:val="22"/>
        </w:rPr>
        <w:t>customer detachment, customer deletion, and reorder.</w:t>
      </w:r>
    </w:p>
    <w:p w14:paraId="243C0864" w14:textId="77777777" w:rsidR="008127C7" w:rsidRDefault="00000000">
      <w:pPr>
        <w:pStyle w:val="Paragrafoelenco"/>
        <w:numPr>
          <w:ilvl w:val="0"/>
          <w:numId w:val="2"/>
        </w:numPr>
        <w:spacing w:after="100" w:line="280" w:lineRule="auto"/>
      </w:pPr>
      <w:r>
        <w:rPr>
          <w:b/>
          <w:bCs/>
          <w:sz w:val="22"/>
          <w:szCs w:val="22"/>
        </w:rPr>
        <w:t xml:space="preserve">Reorder flow: </w:t>
      </w:r>
      <w:r>
        <w:rPr>
          <w:sz w:val="22"/>
          <w:szCs w:val="22"/>
        </w:rPr>
        <w:t>approval/rejection implemented through a LookUp on pending requests in SharePoint.</w:t>
      </w:r>
    </w:p>
    <w:p w14:paraId="2E1A9FAC" w14:textId="77777777" w:rsidR="008127C7" w:rsidRDefault="00000000">
      <w:pPr>
        <w:pStyle w:val="Titolo1"/>
        <w:spacing w:before="400" w:after="200"/>
      </w:pPr>
      <w:r>
        <w:rPr>
          <w:b/>
          <w:bCs/>
          <w:color w:val="2E5AAC"/>
          <w:sz w:val="30"/>
          <w:szCs w:val="30"/>
        </w:rPr>
        <w:t>4. Technical Challenges and Solutions</w:t>
      </w:r>
    </w:p>
    <w:p w14:paraId="4E6C5DEE" w14:textId="77777777" w:rsidR="008127C7" w:rsidRDefault="00000000">
      <w:pPr>
        <w:pStyle w:val="Paragrafoelenco"/>
        <w:numPr>
          <w:ilvl w:val="0"/>
          <w:numId w:val="2"/>
        </w:numPr>
        <w:spacing w:after="100" w:line="280" w:lineRule="auto"/>
      </w:pPr>
      <w:r>
        <w:rPr>
          <w:b/>
          <w:bCs/>
          <w:sz w:val="22"/>
          <w:szCs w:val="22"/>
        </w:rPr>
        <w:t xml:space="preserve">Navigate blocked in Screen.OnVisible: </w:t>
      </w:r>
      <w:r>
        <w:rPr>
          <w:sz w:val="22"/>
          <w:szCs w:val="22"/>
        </w:rPr>
        <w:t>the Navigate function cannot be used directly inside a screen's OnVisible event; solved by introducing a Timer as a workaround to defer navigation.</w:t>
      </w:r>
    </w:p>
    <w:p w14:paraId="2E5C4223" w14:textId="77777777" w:rsidR="008127C7" w:rsidRDefault="00000000">
      <w:pPr>
        <w:pStyle w:val="Paragrafoelenco"/>
        <w:numPr>
          <w:ilvl w:val="0"/>
          <w:numId w:val="2"/>
        </w:numPr>
        <w:spacing w:after="100" w:line="280" w:lineRule="auto"/>
      </w:pPr>
      <w:r>
        <w:rPr>
          <w:b/>
          <w:bCs/>
          <w:sz w:val="22"/>
          <w:szCs w:val="22"/>
        </w:rPr>
        <w:t xml:space="preserve">Timer AutoPause: </w:t>
      </w:r>
      <w:r>
        <w:rPr>
          <w:sz w:val="22"/>
          <w:szCs w:val="22"/>
        </w:rPr>
        <w:t>a Timer's AutoPause property is automatically triggered when Visible = false, silently pausing the timer; identified and handled explicitly.</w:t>
      </w:r>
    </w:p>
    <w:p w14:paraId="246207EB" w14:textId="77777777" w:rsidR="008127C7" w:rsidRDefault="00000000">
      <w:pPr>
        <w:pStyle w:val="Paragrafoelenco"/>
        <w:numPr>
          <w:ilvl w:val="0"/>
          <w:numId w:val="2"/>
        </w:numPr>
        <w:spacing w:after="100" w:line="280" w:lineRule="auto"/>
      </w:pPr>
      <w:r>
        <w:rPr>
          <w:b/>
          <w:bCs/>
          <w:sz w:val="22"/>
          <w:szCs w:val="22"/>
        </w:rPr>
        <w:t xml:space="preserve">Role name mismatch: </w:t>
      </w:r>
      <w:r>
        <w:rPr>
          <w:sz w:val="22"/>
          <w:szCs w:val="22"/>
        </w:rPr>
        <w:t>user role values did not match between the Italian values used in the app and the English values stored in SharePoint; solved by aligning the comparison between the two formats.</w:t>
      </w:r>
    </w:p>
    <w:p w14:paraId="5FD6759F" w14:textId="77777777" w:rsidR="008127C7" w:rsidRDefault="00000000">
      <w:pPr>
        <w:pStyle w:val="Titolo1"/>
        <w:spacing w:before="400" w:after="200"/>
      </w:pPr>
      <w:r>
        <w:rPr>
          <w:b/>
          <w:bCs/>
          <w:color w:val="2E5AAC"/>
          <w:sz w:val="30"/>
          <w:szCs w:val="30"/>
        </w:rPr>
        <w:t>5. Presentation and Evaluation</w:t>
      </w:r>
    </w:p>
    <w:p w14:paraId="416B37E4" w14:textId="66BB5EF4" w:rsidR="008127C7" w:rsidRDefault="00000000">
      <w:pPr>
        <w:spacing w:after="160" w:line="300" w:lineRule="auto"/>
      </w:pPr>
      <w:r>
        <w:rPr>
          <w:sz w:val="22"/>
          <w:szCs w:val="22"/>
        </w:rPr>
        <w:t xml:space="preserve">The New-Y project was presented with a grade of </w:t>
      </w:r>
      <w:r w:rsidR="0067130A">
        <w:rPr>
          <w:sz w:val="22"/>
          <w:szCs w:val="22"/>
        </w:rPr>
        <w:t>30</w:t>
      </w:r>
      <w:r>
        <w:rPr>
          <w:sz w:val="22"/>
          <w:szCs w:val="22"/>
        </w:rPr>
        <w:t>/30. The presentation was carefully prepared with a focus on public speaking, structuring a script around specific rhetorical techniques and an opening (hook) slide in Italian built on a deliberate rhetorical echo structure.</w:t>
      </w:r>
    </w:p>
    <w:p w14:paraId="494C0B95" w14:textId="77777777" w:rsidR="008127C7" w:rsidRDefault="00000000">
      <w:pPr>
        <w:pStyle w:val="Titolo1"/>
        <w:spacing w:before="400" w:after="200"/>
      </w:pPr>
      <w:r>
        <w:rPr>
          <w:b/>
          <w:bCs/>
          <w:color w:val="2E5AAC"/>
          <w:sz w:val="30"/>
          <w:szCs w:val="30"/>
        </w:rPr>
        <w:t>6. Conclusions</w:t>
      </w:r>
    </w:p>
    <w:p w14:paraId="0565203C" w14:textId="77777777" w:rsidR="008127C7" w:rsidRDefault="00000000">
      <w:pPr>
        <w:spacing w:after="160" w:line="300" w:lineRule="auto"/>
      </w:pPr>
      <w:r>
        <w:rPr>
          <w:sz w:val="22"/>
          <w:szCs w:val="22"/>
        </w:rPr>
        <w:t>New-Y demonstrates the complete integration of the Microsoft Power Platform ecosystem in a real-world use case: a Power Apps application that consumes data from Dynamics 365 Business Central and uses SharePoint as a persistence layer for orders, roles and approval flows, structurally managing role-based navigation, stock management, and multi-stage request/approval processes.</w:t>
      </w:r>
    </w:p>
    <w:sectPr w:rsidR="008127C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2187C"/>
    <w:multiLevelType w:val="hybridMultilevel"/>
    <w:tmpl w:val="05169FFC"/>
    <w:lvl w:ilvl="0" w:tplc="147AD6D6">
      <w:start w:val="1"/>
      <w:numFmt w:val="bullet"/>
      <w:lvlText w:val="•"/>
      <w:lvlJc w:val="left"/>
      <w:pPr>
        <w:ind w:left="504" w:hanging="259"/>
      </w:pPr>
    </w:lvl>
    <w:lvl w:ilvl="1" w:tplc="80E67FA6">
      <w:numFmt w:val="decimal"/>
      <w:lvlText w:val=""/>
      <w:lvlJc w:val="left"/>
    </w:lvl>
    <w:lvl w:ilvl="2" w:tplc="ABCC1E58">
      <w:numFmt w:val="decimal"/>
      <w:lvlText w:val=""/>
      <w:lvlJc w:val="left"/>
    </w:lvl>
    <w:lvl w:ilvl="3" w:tplc="96CCAC74">
      <w:numFmt w:val="decimal"/>
      <w:lvlText w:val=""/>
      <w:lvlJc w:val="left"/>
    </w:lvl>
    <w:lvl w:ilvl="4" w:tplc="8A94ED6E">
      <w:numFmt w:val="decimal"/>
      <w:lvlText w:val=""/>
      <w:lvlJc w:val="left"/>
    </w:lvl>
    <w:lvl w:ilvl="5" w:tplc="51DA9DD4">
      <w:numFmt w:val="decimal"/>
      <w:lvlText w:val=""/>
      <w:lvlJc w:val="left"/>
    </w:lvl>
    <w:lvl w:ilvl="6" w:tplc="589E2E52">
      <w:numFmt w:val="decimal"/>
      <w:lvlText w:val=""/>
      <w:lvlJc w:val="left"/>
    </w:lvl>
    <w:lvl w:ilvl="7" w:tplc="83527E0A">
      <w:numFmt w:val="decimal"/>
      <w:lvlText w:val=""/>
      <w:lvlJc w:val="left"/>
    </w:lvl>
    <w:lvl w:ilvl="8" w:tplc="E1982DCC">
      <w:numFmt w:val="decimal"/>
      <w:lvlText w:val=""/>
      <w:lvlJc w:val="left"/>
    </w:lvl>
  </w:abstractNum>
  <w:abstractNum w:abstractNumId="1" w15:restartNumberingAfterBreak="0">
    <w:nsid w:val="30D92FD8"/>
    <w:multiLevelType w:val="hybridMultilevel"/>
    <w:tmpl w:val="890E526E"/>
    <w:lvl w:ilvl="0" w:tplc="D2360E42">
      <w:start w:val="1"/>
      <w:numFmt w:val="bullet"/>
      <w:lvlText w:val="●"/>
      <w:lvlJc w:val="left"/>
      <w:pPr>
        <w:ind w:left="720" w:hanging="360"/>
      </w:pPr>
    </w:lvl>
    <w:lvl w:ilvl="1" w:tplc="4E72F05A">
      <w:start w:val="1"/>
      <w:numFmt w:val="bullet"/>
      <w:lvlText w:val="○"/>
      <w:lvlJc w:val="left"/>
      <w:pPr>
        <w:ind w:left="1440" w:hanging="360"/>
      </w:pPr>
    </w:lvl>
    <w:lvl w:ilvl="2" w:tplc="6108FCA4">
      <w:start w:val="1"/>
      <w:numFmt w:val="bullet"/>
      <w:lvlText w:val="■"/>
      <w:lvlJc w:val="left"/>
      <w:pPr>
        <w:ind w:left="2160" w:hanging="360"/>
      </w:pPr>
    </w:lvl>
    <w:lvl w:ilvl="3" w:tplc="CB32DF36">
      <w:start w:val="1"/>
      <w:numFmt w:val="bullet"/>
      <w:lvlText w:val="●"/>
      <w:lvlJc w:val="left"/>
      <w:pPr>
        <w:ind w:left="2880" w:hanging="360"/>
      </w:pPr>
    </w:lvl>
    <w:lvl w:ilvl="4" w:tplc="BB3CA0AA">
      <w:start w:val="1"/>
      <w:numFmt w:val="bullet"/>
      <w:lvlText w:val="○"/>
      <w:lvlJc w:val="left"/>
      <w:pPr>
        <w:ind w:left="3600" w:hanging="360"/>
      </w:pPr>
    </w:lvl>
    <w:lvl w:ilvl="5" w:tplc="04BAA498">
      <w:start w:val="1"/>
      <w:numFmt w:val="bullet"/>
      <w:lvlText w:val="■"/>
      <w:lvlJc w:val="left"/>
      <w:pPr>
        <w:ind w:left="4320" w:hanging="360"/>
      </w:pPr>
    </w:lvl>
    <w:lvl w:ilvl="6" w:tplc="D05E359A">
      <w:start w:val="1"/>
      <w:numFmt w:val="bullet"/>
      <w:lvlText w:val="●"/>
      <w:lvlJc w:val="left"/>
      <w:pPr>
        <w:ind w:left="5040" w:hanging="360"/>
      </w:pPr>
    </w:lvl>
    <w:lvl w:ilvl="7" w:tplc="A0F2E98C">
      <w:start w:val="1"/>
      <w:numFmt w:val="bullet"/>
      <w:lvlText w:val="●"/>
      <w:lvlJc w:val="left"/>
      <w:pPr>
        <w:ind w:left="5760" w:hanging="360"/>
      </w:pPr>
    </w:lvl>
    <w:lvl w:ilvl="8" w:tplc="2B06038C">
      <w:start w:val="1"/>
      <w:numFmt w:val="bullet"/>
      <w:lvlText w:val="●"/>
      <w:lvlJc w:val="left"/>
      <w:pPr>
        <w:ind w:left="6480" w:hanging="360"/>
      </w:pPr>
    </w:lvl>
  </w:abstractNum>
  <w:num w:numId="1" w16cid:durableId="497964153">
    <w:abstractNumId w:val="1"/>
    <w:lvlOverride w:ilvl="0">
      <w:startOverride w:val="1"/>
    </w:lvlOverride>
  </w:num>
  <w:num w:numId="2" w16cid:durableId="557395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C7"/>
    <w:rsid w:val="0067130A"/>
    <w:rsid w:val="008127C7"/>
    <w:rsid w:val="00A915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05DD"/>
  <w15:docId w15:val="{77656403-DF8B-46C5-9AAC-F6E96A99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Riccardo Casarotti</cp:lastModifiedBy>
  <cp:revision>2</cp:revision>
  <dcterms:created xsi:type="dcterms:W3CDTF">2026-09-16T07:53:00Z</dcterms:created>
  <dcterms:modified xsi:type="dcterms:W3CDTF">2026-09-16T07:54:00Z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2026-09-16T07:54:06Z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d02caafd-d7d6-4ef9-970b-9350c6790fba</vt:lpwstr>
  </property>
  <property fmtid="{D5CDD505-2E9C-101B-9397-08002B2CF9AE}" pid="7" name="MSIP_Label_defa4170-0d19-0005-0004-bc88714345d2_ActionId">
    <vt:lpwstr>fb44b973-38f6-45d1-bc62-3b7971ab265d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