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 della Pesa 1, quando la pesa è vuota: cercare il prossimo accesso in coda (data ASC, priorità DESC).</w:t>
      </w:r>
    </w:p>
    <w:p>
      <w:pPr>
        <w:pStyle w:val="ListNumber"/>
      </w:pPr>
      <w:r>
        <w:t>Aprire il relè della sbarra corrispondente allo slot assegnato all'accesso.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