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ListNumber"/>
      </w:pPr>
      <w:r>
        <w:t xml:space="preserve">Nel Callback Realtime della Pesa 2, quando la pesa è vuota: aprire la sbarra.</w:t>
      </w:r>
    </w:p>
    <w:p>
      <w:pPr>
        <w:pStyle w:val="ListNumber"/>
      </w:pPr>
      <w:r>
        <w:t xml:space="preserve">Quando il veicolo sale sulla pesa, chiudere la sbarra.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