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ListBullet"/>
      </w:pPr>
      <w:r>
        <w:t>ID di riferimento dal sistema esterno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ListNumber"/>
      </w:pPr>
      <w:r>
        <w:t>Se il veicolo non viene riconosciuto automaticamente (targa non in coda), è presente un QR code alla sbarra. L'autista inquadra il QR code per auto-registrarsi nel sistema e procedere con l'accesso.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false,</w:t>
        <w:br/>
        <w:t xml:space="preserve">  "external_id": "string"</w:t>
        <w:br/>
        <w:t>}</w:t>
      </w:r>
    </w:p>
    <w:p>
      <w:pPr/>
      <w:r>
        <w:rPr>
          <w:b/>
        </w:rPr>
        <w:t>Dove number_in_out: 1 (o altro numero &gt; 0) per pesatura, 0 per permanente, -1 per solo transito. Il campo external_id contiene l'ID di riferimento del sistema esterno del cliente.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