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eastAsia="Calibri"/>
          <w:b/>
          <w:color w:val="2E74B5"/>
          <w:sz w:val="19"/>
        </w:rPr>
        <w:t>FINAL NOTEBOOK REVIEW</w:t>
      </w:r>
    </w:p>
    <w:p>
      <w:pPr>
        <w:spacing w:before="0" w:after="80"/>
      </w:pPr>
      <w:r>
        <w:rPr>
          <w:rFonts w:ascii="Calibri" w:hAnsi="Calibri" w:eastAsia="Calibri"/>
          <w:b/>
          <w:color w:val="000000"/>
          <w:sz w:val="46"/>
        </w:rPr>
        <w:t>Final Notebook Review and Correction Plan</w:t>
      </w:r>
    </w:p>
    <w:p>
      <w:pPr>
        <w:spacing w:before="0" w:after="280"/>
      </w:pPr>
      <w:r>
        <w:rPr>
          <w:rFonts w:ascii="Calibri" w:hAnsi="Calibri" w:eastAsia="Calibri"/>
          <w:color w:val="5F6368"/>
          <w:sz w:val="27"/>
        </w:rPr>
        <w:t>Tasks 1, 4 and 5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202124"/>
          <w:sz w:val="21"/>
        </w:rPr>
        <w:t xml:space="preserve">Owner: </w:t>
      </w:r>
      <w:r>
        <w:rPr>
          <w:rFonts w:ascii="Calibri" w:hAnsi="Calibri" w:eastAsia="Calibri"/>
          <w:color w:val="202124"/>
          <w:sz w:val="21"/>
        </w:rPr>
        <w:t>Project collaborator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202124"/>
          <w:sz w:val="21"/>
        </w:rPr>
        <w:t xml:space="preserve">Scope: </w:t>
      </w:r>
      <w:r>
        <w:rPr>
          <w:rFonts w:ascii="Calibri" w:hAnsi="Calibri" w:eastAsia="Calibri"/>
          <w:color w:val="202124"/>
          <w:sz w:val="21"/>
        </w:rPr>
        <w:t>Tasks 1, 4 and 5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202124"/>
          <w:sz w:val="21"/>
        </w:rPr>
        <w:t xml:space="preserve">Review basis: </w:t>
      </w:r>
      <w:r>
        <w:rPr>
          <w:rFonts w:ascii="Calibri" w:hAnsi="Calibri" w:eastAsia="Calibri"/>
          <w:color w:val="202124"/>
          <w:sz w:val="21"/>
        </w:rPr>
        <w:t>Final notebooks checked against the Project 2.2 brief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202124"/>
          <w:sz w:val="21"/>
        </w:rPr>
        <w:t xml:space="preserve">Status: </w:t>
      </w:r>
      <w:r>
        <w:rPr>
          <w:rFonts w:ascii="Calibri" w:hAnsi="Calibri" w:eastAsia="Calibri"/>
          <w:color w:val="202124"/>
          <w:sz w:val="21"/>
        </w:rPr>
        <w:t>Strong implementation; targeted corrections and packaging checks required</w:t>
      </w:r>
    </w:p>
    <w:p>
      <w:pPr>
        <w:spacing w:after="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F3A5F"/>
                <w:sz w:val="21"/>
              </w:rPr>
              <w:t xml:space="preserve">Bottom line: </w:t>
            </w:r>
            <w:r>
              <w:rPr>
                <w:rFonts w:ascii="Calibri" w:hAnsi="Calibri" w:eastAsia="Calibri"/>
                <w:color w:val="202124"/>
                <w:sz w:val="21"/>
              </w:rPr>
              <w:t>Task 1 needs its model-level OOV analysis aligned with the final Task 3 pipeline. Task 4 correctly implements attention but must stop claiming that it reproduces the final Task 3 configuration. Task 5 is methodologically sound; its external data files, join logic, and OOV wording require final checks.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Assessment at a glance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080"/>
        <w:gridCol w:w="1800"/>
        <w:gridCol w:w="5040"/>
        <w:gridCol w:w="1440"/>
      </w:tblGrid>
      <w:tr>
        <w:trPr>
          <w:tblHeader w:val="true"/>
        </w:trPr>
        <w:tc>
          <w:tcPr>
            <w:tcW w:type="dxa" w:w="10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Task</w:t>
            </w:r>
          </w:p>
        </w:tc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50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Required action</w:t>
            </w:r>
          </w:p>
        </w:tc>
        <w:tc>
          <w:tcPr>
            <w:tcW w:type="dxa" w:w="14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New training?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Task 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Small correction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Recompute and rewrite final-model OOV discussion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No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Task 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Wording correction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Present it as a controlled internal ablation, not an exact Task 3 reproduction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No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Task 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Packaging check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Include triple files and build script; correct OOV measurement/label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No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Task 4 optional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Maximum rigor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Rerun with the final Task 3 pipeline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Yes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Task 1 - Data exploration</w:t>
      </w:r>
    </w:p>
    <w:p>
      <w:pPr>
        <w:pStyle w:val="Heading2"/>
        <w:keepNext/>
      </w:pPr>
      <w:r>
        <w:t>What is already correct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The corpus size, vocabulary asymmetry, sentence-length distribution, and EN-IT length correlation are correctly explored.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The interpretation of Italian as morphologically richer than English is supported by the larger type vocabulary.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The predictions that IT-to-EN may outperform EN-to-IT and that character modelling removes fixed word-vocabulary OOV are reasonable and are later tested in Task 3.</w:t>
      </w:r>
    </w:p>
    <w:p>
      <w:pPr>
        <w:pStyle w:val="Heading2"/>
        <w:keepNext/>
      </w:pPr>
      <w:r>
        <w:t>Correct the model-level OOV analysis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9B1C1C"/>
                <w:sz w:val="21"/>
              </w:rPr>
              <w:t xml:space="preserve">Priority: required: </w:t>
            </w:r>
            <w:r>
              <w:rPr>
                <w:rFonts w:ascii="Calibri" w:hAnsi="Calibri" w:eastAsia="Calibri"/>
                <w:color w:val="202124"/>
                <w:sz w:val="21"/>
              </w:rPr>
              <w:t>Cell 14 reproduces an old Task 3 configuration: 20-token filtering, a 10,000-word vocabulary, and whitespace tokenization. The final Task 3 uses a 40-token pair filter, a 20,000-token vocabulary, and a regex tokenizer.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  <w:color w:val="202124"/>
        </w:rPr>
        <w:t>When the final pipeline is reproduced, approximate test-set OOV rates are 0.73% for English and 2.50% for Italian, not 6.0% and 10.6%. The asymmetry remains, but its magnitude is much smaller.</w:t>
      </w:r>
    </w:p>
    <w:p>
      <w:r>
        <w:rPr>
          <w:rFonts w:ascii="Calibri" w:hAnsi="Calibri" w:eastAsia="Calibri"/>
          <w:color w:val="202124"/>
        </w:rPr>
        <w:t>The replacement logic should use the same tokenizer and vocabulary cap as Task 3:</w:t>
      </w:r>
    </w:p>
    <w:p>
      <w:pPr>
        <w:pStyle w:val="CodeBlock"/>
        <w:keepLines/>
        <w:shd w:fill="F2F4F7" w:val="clear"/>
        <w:pBdr>
          <w:left w:val="single" w:sz="12" w:space="7" w:color="2E74B5"/>
        </w:pBdr>
      </w:pPr>
      <w:r>
        <w:t>TOKEN_PATTERN = re.compile(</w:t>
        <w:br/>
        <w:t xml:space="preserve">    r"\d+(?:[.,]\d+)*|\w+(?:['\u2019]\w+)*|[^\w\s]",</w:t>
        <w:br/>
        <w:t xml:space="preserve">    flags=re.UNICODE,</w:t>
        <w:br/>
        <w:t>)</w:t>
        <w:br/>
        <w:t>tokenize = TOKEN_PATTERN.findall</w:t>
        <w:br/>
        <w:br/>
        <w:t>prs = [(en, it) for en, it in zip(pe, pi)</w:t>
        <w:br/>
        <w:t xml:space="preserve">       if len(en.split()) &lt;= 40 and len(it.split()) &lt;= 40]</w:t>
        <w:br/>
        <w:t>MAX_VOCABULARY_SIZE = 20_000</w:t>
        <w:br/>
        <w:br/>
        <w:t>def oov_rate(train_side, test_side):</w:t>
        <w:br/>
        <w:t xml:space="preserve">    keep = {token for token, _ in Counter(</w:t>
        <w:br/>
        <w:t xml:space="preserve">        token for sentence in train_side for token in tokenize(sentence)</w:t>
        <w:br/>
        <w:t xml:space="preserve">    ).most_common(MAX_VOCABULARY_SIZE - 4)}</w:t>
        <w:br/>
        <w:t xml:space="preserve">    test_tokens = [token for sentence in test_side for token in tokenize(sentence)]</w:t>
        <w:br/>
        <w:t xml:space="preserve">    return 100 * sum(token not in keep for token in test_tokens) / len(test_tokens)</w:t>
      </w:r>
    </w:p>
    <w:p>
      <w:r>
        <w:rPr>
          <w:rFonts w:ascii="Calibri" w:hAnsi="Calibri" w:eastAsia="Calibri"/>
          <w:color w:val="202124"/>
        </w:rPr>
        <w:t>Update cell 12 accordingly: remove the statement that Task 3 uses naive .split(), remove the old 6.0%/10.6% figures, and retain the supported conclusion that Italian has the higher OOV burden.</w:t>
      </w:r>
    </w:p>
    <w:p>
      <w:pPr>
        <w:pStyle w:val="Heading1"/>
        <w:keepNext/>
      </w:pPr>
      <w:r>
        <w:t>Task 4 - Attention</w:t>
      </w:r>
    </w:p>
    <w:p>
      <w:pPr>
        <w:pStyle w:val="Heading2"/>
        <w:keepNext/>
      </w:pPr>
      <w:r>
        <w:t>Verified strengths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Bahdanau attention is implemented correctly: all encoder states are retained, padding is masked, and a new context vector is computed at each decoder step.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The no-attention and attention models inside Task 4 use the same split, vocabulary, hyperparameters, seed, and training budget. Therefore, the internal improvement is a valid controlled ablation.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The held-out comparison is coherent: BLEU improves from 4.16 to 7.68 and METEOR from 18.76 to 27.07.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The notebook includes performance by sentence length and an attention heatmap, satisfying the main analytical requirements.</w:t>
      </w:r>
    </w:p>
    <w:p>
      <w:pPr>
        <w:pStyle w:val="Heading2"/>
        <w:keepNext/>
      </w:pPr>
      <w:r>
        <w:t>Correct the comparison claim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9B1C1C"/>
                <w:sz w:val="21"/>
              </w:rPr>
              <w:t xml:space="preserve">Priority: required: </w:t>
            </w:r>
            <w:r>
              <w:rPr>
                <w:rFonts w:ascii="Calibri" w:hAnsi="Calibri" w:eastAsia="Calibri"/>
                <w:color w:val="202124"/>
                <w:sz w:val="21"/>
              </w:rPr>
              <w:t>Task 4 says that it reproduces Task 3 exactly, but it actually uses a different dataset filter, tokenizer, vocabulary, embedding setup, hidden size, and test set.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Component</w:t>
            </w:r>
          </w:p>
        </w:tc>
        <w:tc>
          <w:tcPr>
            <w:tcW w:type="dxa" w:w="37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Final Task 3</w:t>
            </w:r>
          </w:p>
        </w:tc>
        <w:tc>
          <w:tcPr>
            <w:tcW w:type="dxa" w:w="37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Task 4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Pair-length cap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40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20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Test examples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31,503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14,182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Vocabulary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20,000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10,000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Tokenizer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Regex with punctuation separation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Whitespace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Embedding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128, Word2Vec-initialized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64, random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Hidden state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512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256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  <w:color w:val="202124"/>
        </w:rPr>
        <w:t>Recommended replacement for the experimental-design paragraph in cell 0:</w:t>
      </w:r>
    </w:p>
    <w:p>
      <w:pPr>
        <w:pStyle w:val="CodeBlock"/>
        <w:keepLines/>
        <w:shd w:fill="F2F4F7" w:val="clear"/>
        <w:pBdr>
          <w:left w:val="single" w:sz="12" w:space="7" w:color="2E74B5"/>
        </w:pBdr>
      </w:pPr>
      <w:r>
        <w:t>This notebook performs a controlled attention ablation using a simplified</w:t>
        <w:br/>
        <w:t>Task-3-style LSTM configuration. The no-attention and attention models are</w:t>
        <w:br/>
        <w:t>trained here with identical data, vocabularies, hyperparameters and random</w:t>
        <w:br/>
        <w:t>seeds, so their difference isolates the contribution of attention within</w:t>
        <w:br/>
        <w:t>this experiment. The setup is not an exact reproduction of the final Task 3 model.</w:t>
      </w:r>
    </w:p>
    <w:p>
      <w:r>
        <w:rPr>
          <w:rFonts w:ascii="Calibri" w:hAnsi="Calibri" w:eastAsia="Calibri"/>
          <w:color w:val="202124"/>
        </w:rPr>
        <w:t>Recommended replacement for the heading and text in cell 5:</w:t>
      </w:r>
    </w:p>
    <w:p>
      <w:pPr>
        <w:pStyle w:val="CodeBlock"/>
        <w:keepLines/>
        <w:shd w:fill="F2F4F7" w:val="clear"/>
        <w:pBdr>
          <w:left w:val="single" w:sz="12" w:space="7" w:color="2E74B5"/>
        </w:pBdr>
      </w:pPr>
      <w:r>
        <w:t>## 1. Data for the controlled attention experiment</w:t>
        <w:br/>
        <w:br/>
        <w:t>Both models in this notebook use the same 20-token cap, 70/10/20 split and</w:t>
        <w:br/>
        <w:t>seed. This guarantees a fair internal with/without-attention comparison,</w:t>
        <w:br/>
        <w:t>but the configuration differs from the final Task 3 pipeline.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In cell 16, replace the comment 'Task 3's best checkpoint was epoch 12' with 'fixed common training budget for the controlled ablation'.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Do not compare Task 4's absolute scores directly with the final Task 3 scores as if only attention had changed.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For the report heatmap, select a medium-length example with a reasonably correct, non-repetitive translation and a readable alignment pattern instead of automatically using candidates[0].</w:t>
      </w:r>
    </w:p>
    <w:p>
      <w:pPr>
        <w:pStyle w:val="SmallNote"/>
      </w:pPr>
      <w:r>
        <w:rPr>
          <w:rFonts w:ascii="Calibri" w:hAnsi="Calibri" w:eastAsia="Calibri"/>
          <w:i/>
          <w:color w:val="5F6368"/>
          <w:sz w:val="19"/>
        </w:rPr>
        <w:t>A full rerun using Task 3's 40-token filter, regex tokenizer, 20k vocabulary, 128/512 LSTM, and Word2Vec initialization would be the most rigorous option, but it is not necessary if the claim is corrected.</w:t>
      </w:r>
    </w:p>
    <w:p>
      <w:pPr>
        <w:pStyle w:val="Heading1"/>
        <w:keepNext/>
      </w:pPr>
      <w:r>
        <w:t>Task 5 - Pivot translation</w:t>
      </w:r>
    </w:p>
    <w:p>
      <w:pPr>
        <w:pStyle w:val="Heading2"/>
        <w:keepNext/>
      </w:pPr>
      <w:r>
        <w:t>Verified strengths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The pivot is implemented correctly: generated English from the IT-to-EN model, not reference English, is fed into the EN-to-SV model.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The reference-English oracle is a valid diagnostic because it isolates the loss caused by first-leg errors.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All systems use the same held-out triple split, and the direct IT-to-SV model is a useful experimental benchmark.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The results clearly show error propagation: pivot BLEU is 5.95 versus 11.00 when the second leg receives perfect English.</w:t>
      </w:r>
    </w:p>
    <w:p>
      <w:pPr>
        <w:pStyle w:val="Heading2"/>
        <w:keepNext/>
      </w:pPr>
      <w:r>
        <w:t>Required packaging and data-construction checks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Include triples.it.gz, triples.en.gz, triples.sv.gz, and scripts/build_pivot_triples.py in the submitted repository/ZIP. Without them, the notebook cannot run from a fresh clone.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In the build script, handle repeated English sentences explicitly before joining the IT-EN and SV-EN corpora. Avoid silently keeping an arbitrary last match or creating uncontrolled many-to-many combinations. Document the selected policy and remove duplicate triples after the join.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Describe the direct IT-to-SV system as an experimental upper-bound comparator on the constructed triples. In the motivating real-world scenario, direct IT-SV training data would not normally be available.</w:t>
      </w:r>
    </w:p>
    <w:p>
      <w:pPr>
        <w:pStyle w:val="Heading2"/>
        <w:keepNext/>
      </w:pPr>
      <w:r>
        <w:t>Correct the OOV measurement</w:t>
      </w:r>
    </w:p>
    <w:p>
      <w:r>
        <w:rPr>
          <w:rFonts w:ascii="Calibri" w:hAnsi="Calibri" w:eastAsia="Calibri"/>
          <w:color w:val="202124"/>
        </w:rPr>
        <w:t>Cell 6 measures tokens from the training set against a vocabulary built from the same training set. Those values mainly quantify tokens excluded by the 10k vocabulary cap; they are not test-set OOV rates. Compute the rates on test_triples or relabel the current statistic.</w:t>
      </w:r>
    </w:p>
    <w:p>
      <w:pPr>
        <w:pStyle w:val="CodeBlock"/>
        <w:keepLines/>
        <w:shd w:fill="F2F4F7" w:val="clear"/>
        <w:pBdr>
          <w:left w:val="single" w:sz="12" w:space="7" w:color="2E74B5"/>
        </w:pBdr>
      </w:pPr>
      <w:r>
        <w:t>for name, position in (("it", IT), ("en", EN), ("sv", SV)):</w:t>
        <w:br/>
        <w:t xml:space="preserve">    token_to_index, _ = vocabularies[name]</w:t>
        <w:br/>
        <w:t xml:space="preserve">    test_tokens = [</w:t>
        <w:br/>
        <w:t xml:space="preserve">        token</w:t>
        <w:br/>
        <w:t xml:space="preserve">        for triple in test_triples</w:t>
        <w:br/>
        <w:t xml:space="preserve">        for token in tokenize(triple[position])</w:t>
        <w:br/>
        <w:t xml:space="preserve">    ]</w:t>
        <w:br/>
        <w:t xml:space="preserve">    oov = sum(token not in token_to_index for token in test_tokens)</w:t>
        <w:br/>
        <w:t xml:space="preserve">    print(f"{name} test OOV rate: {100 * oov / len(test_tokens):.2f}%")</w:t>
      </w:r>
    </w:p>
    <w:p>
      <w:pPr>
        <w:pStyle w:val="Heading2"/>
        <w:keepNext/>
      </w:pPr>
      <w:r>
        <w:t>Results to report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4140"/>
        <w:gridCol w:w="1980"/>
        <w:gridCol w:w="1620"/>
        <w:gridCol w:w="1620"/>
      </w:tblGrid>
      <w:tr>
        <w:trPr>
          <w:tblHeader w:val="true"/>
        </w:trPr>
        <w:tc>
          <w:tcPr>
            <w:tcW w:type="dxa" w:w="41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System</w:t>
            </w:r>
          </w:p>
        </w:tc>
        <w:tc>
          <w:tcPr>
            <w:tcW w:type="dxa" w:w="19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Target</w:t>
            </w:r>
          </w:p>
        </w:tc>
        <w:tc>
          <w:tcPr>
            <w:tcW w:type="dxa" w:w="16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BLEU</w:t>
            </w:r>
          </w:p>
        </w:tc>
        <w:tc>
          <w:tcPr>
            <w:tcW w:type="dxa" w:w="16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METEOR</w:t>
            </w:r>
          </w:p>
        </w:tc>
      </w:tr>
      <w:tr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IT-to-EN first leg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English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10.68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32.23</w:t>
            </w:r>
          </w:p>
        </w:tc>
      </w:tr>
      <w:tr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EN-to-SV with reference English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Swedish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11.00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35.12</w:t>
            </w:r>
          </w:p>
        </w:tc>
      </w:tr>
      <w:tr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IT-to-EN-to-SV pivot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Swedish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5.95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22.86</w:t>
            </w:r>
          </w:p>
        </w:tc>
      </w:tr>
      <w:tr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Direct IT-to-SV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Swedish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6.06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25.08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  <w:color w:val="202124"/>
        </w:rPr>
        <w:t>Interpretation: the pivot nearly matches the direct model in BLEU (-0.11) but remains lower in METEOR (-2.22). The much larger oracle-to-pivot BLEU drop (-5.05) shows that first-leg errors are the dominant source of end-to-end degradation.</w:t>
      </w:r>
    </w:p>
    <w:p>
      <w:pPr>
        <w:pStyle w:val="Heading1"/>
        <w:keepNext/>
      </w:pPr>
      <w:r>
        <w:t>Handoff checklist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Task 1 OOV code and findings reproduce the final Task 3 pipeline.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Task 4 no longer claims to be identical to the final Task 3 setup.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Task 4 retains the valid internal attention ablation and reports 4.16 to 7.68 BLEU.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A clear, non-repetitive example is selected for the attention heatmap.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All Task 5 triple files and the build script are included in the submission.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The English-side join policy is explicit and duplicate triples are controlled.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02124"/>
        </w:rPr>
        <w:t>Task 5 OOV is measured on the test set or accurately relabelled.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F6368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368"/>
        <w:sz w:val="17"/>
      </w:rPr>
      <w:t>NLP Project 2.2</w:t>
    </w:r>
    <w:r>
      <w:rPr>
        <w:rFonts w:ascii="Calibri" w:hAnsi="Calibri" w:eastAsia="Calibri"/>
        <w:color w:val="5F6368"/>
        <w:sz w:val="17"/>
      </w:rPr>
      <w:t xml:space="preserve">  |  Tasks 1, 4 and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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30" w:right="115"/>
    </w:pPr>
    <w:rPr>
      <w:rFonts w:ascii="Consolas" w:hAnsi="Consolas"/>
      <w:color w:val="202124"/>
      <w:sz w:val="17"/>
    </w:rPr>
  </w:style>
  <w:style w:type="paragraph" w:customStyle="1" w:styleId="SmallNote">
    <w:name w:val="Small Note"/>
    <w:pPr>
      <w:spacing w:before="80" w:after="80" w:line="276" w:lineRule="auto"/>
    </w:pPr>
    <w:rPr>
      <w:rFonts w:ascii="Calibri" w:hAnsi="Calibri"/>
      <w:color w:val="5F636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Notebook Review - Tasks 1, 4 and 5</dc:title>
  <dc:subject>NLP Project 2.2 handoff correction plan</dc:subject>
  <dc:creator>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