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70f4061065d69174e7e5cf643754b3c1e799c6d"/>
    <w:p>
      <w:pPr>
        <w:pStyle w:val="Heading1"/>
      </w:pPr>
      <w:r>
        <w:t xml:space="preserve">Week 2 Assignment — Data Acquisition, QC, and Normalization</w:t>
      </w:r>
    </w:p>
    <w:bookmarkStart w:id="30" w:name="Xac4dfc2fe628ade878b842a5adc4b2abee9572a"/>
    <w:p>
      <w:pPr>
        <w:pStyle w:val="Heading2"/>
      </w:pPr>
      <w:r>
        <w:t xml:space="preserve">Course: AI/ML-Based Biomarker Discovery | Dataset: GSE120584 (serum microarray), GSE46579 (whole-blood small RNA-seq)</w:t>
      </w:r>
    </w:p>
    <w:p>
      <w:pPr>
        <w:pStyle w:val="FirstParagraph"/>
      </w:pPr>
      <w:r>
        <w:rPr>
          <w:bCs/>
          <w:b/>
        </w:rPr>
        <w:t xml:space="preserve">Instructions:</w:t>
      </w:r>
      <w:r>
        <w:t xml:space="preserve"> </w:t>
      </w:r>
      <w:r>
        <w:t xml:space="preserve">Questions marked [C] are conceptual and should be answered from your lecture notes and readings. Questions marked [R] require you to run the corresponding section of</w:t>
      </w:r>
      <w:r>
        <w:t xml:space="preserve"> </w:t>
      </w:r>
      <w:r>
        <w:rPr>
          <w:rStyle w:val="VerbatimChar"/>
        </w:rPr>
        <w:t xml:space="preserve">Week2_DataAcquisition_QC.R</w:t>
      </w:r>
      <w:r>
        <w:t xml:space="preserve"> </w:t>
      </w:r>
      <w:r>
        <w:t xml:space="preserve">in RStudio and report the exact output from your session.</w:t>
      </w:r>
    </w:p>
    <w:p>
      <w:r>
        <w:pict>
          <v:rect style="width:0;height:1.5pt" o:hralign="center" o:hrstd="t" o:hr="t"/>
        </w:pict>
      </w:r>
    </w:p>
    <w:bookmarkStart w:id="20" w:name="question-1-c-normalization-assumptions"/>
    <w:p>
      <w:pPr>
        <w:pStyle w:val="Heading3"/>
      </w:pPr>
      <w:r>
        <w:t xml:space="preserve">Question 1 [C] — Normalization Assumptions</w:t>
      </w:r>
    </w:p>
    <w:p>
      <w:pPr>
        <w:pStyle w:val="FirstParagraph"/>
      </w:pPr>
      <w:r>
        <w:t xml:space="preserve">Quantile normalization assumes that the overall distribution of expression values should be identical across all samples. Describe one experimental scenario in miRNA profiling where this assumption is violated, and explain what the downstream consequences would be if you applied quantile normalization anyway. As an alternative, describe how reference-gene normalization circumvents this assumption and identify two commonly used reference miRNAs for serum studies.</w:t>
      </w:r>
    </w:p>
    <w:p>
      <w:r>
        <w:pict>
          <v:rect style="width:0;height:1.5pt" o:hralign="center" o:hrstd="t" o:hr="t"/>
        </w:pict>
      </w:r>
    </w:p>
    <w:bookmarkEnd w:id="20"/>
    <w:bookmarkStart w:id="21" w:name="Xfdd3c68840259ad97e531104119020c940f1fbc"/>
    <w:p>
      <w:pPr>
        <w:pStyle w:val="Heading3"/>
      </w:pPr>
      <w:r>
        <w:t xml:space="preserve">Question 2 [C] — Microarray Normalization (GSE120584)</w:t>
      </w:r>
    </w:p>
    <w:p>
      <w:pPr>
        <w:pStyle w:val="FirstParagraph"/>
      </w:pPr>
      <w:r>
        <w:t xml:space="preserve">GSE120584 is a serum miRNA</w:t>
      </w:r>
      <w:r>
        <w:t xml:space="preserve"> </w:t>
      </w:r>
      <w:r>
        <w:rPr>
          <w:bCs/>
          <w:b/>
        </w:rPr>
        <w:t xml:space="preserve">microarray</w:t>
      </w:r>
      <w:r>
        <w:t xml:space="preserve"> </w:t>
      </w:r>
      <w:r>
        <w:t xml:space="preserve">(Toray 3D-Gene). The matrix returned by</w:t>
      </w:r>
      <w:r>
        <w:t xml:space="preserve"> </w:t>
      </w:r>
      <w:r>
        <w:rPr>
          <w:rStyle w:val="VerbatimChar"/>
        </w:rPr>
        <w:t xml:space="preserve">exprs(gse120584)</w:t>
      </w:r>
      <w:r>
        <w:t xml:space="preserve"> </w:t>
      </w:r>
      <w:r>
        <w:t xml:space="preserve">has already been processed by the submitters: background-subtracted, log2-transformed, and scaled to three internal-control miRNAs (miR-149-3p, miR-2861, miR-4463). Explain:</w:t>
      </w:r>
    </w:p>
    <w:p>
      <w:pPr>
        <w:numPr>
          <w:ilvl w:val="0"/>
          <w:numId w:val="1001"/>
        </w:numPr>
        <w:pStyle w:val="Compact"/>
      </w:pPr>
      <w:r>
        <w:t xml:space="preserve">Why background subtraction is necessary for a fluorescence array, and how below-background (</w:t>
      </w:r>
      <w:r>
        <w:t xml:space="preserve">“</w:t>
      </w:r>
      <w:r>
        <w:t xml:space="preserve">not detected</w:t>
      </w:r>
      <w:r>
        <w:t xml:space="preserve">”</w:t>
      </w:r>
      <w:r>
        <w:t xml:space="preserve">) signals are coded in this dataset</w:t>
      </w:r>
    </w:p>
    <w:p>
      <w:pPr>
        <w:numPr>
          <w:ilvl w:val="0"/>
          <w:numId w:val="1001"/>
        </w:numPr>
        <w:pStyle w:val="Compact"/>
      </w:pPr>
      <w:r>
        <w:t xml:space="preserve">How normalization to internal-control miRNAs works, and what assumption it makes about those three miRNAs</w:t>
      </w:r>
    </w:p>
    <w:p>
      <w:pPr>
        <w:numPr>
          <w:ilvl w:val="0"/>
          <w:numId w:val="1001"/>
        </w:numPr>
        <w:pStyle w:val="Compact"/>
      </w:pPr>
      <w:r>
        <w:t xml:space="preserve">How quantile normalization (</w:t>
      </w:r>
      <w:r>
        <w:rPr>
          <w:rStyle w:val="VerbatimChar"/>
        </w:rPr>
        <w:t xml:space="preserve">normalizeBetweenArrays()</w:t>
      </w:r>
      <w:r>
        <w:t xml:space="preserve">, Section 8B) differs from internal-control normalization, and why the script leaves it switched off by default</w:t>
      </w:r>
    </w:p>
    <w:p>
      <w:r>
        <w:pict>
          <v:rect style="width:0;height:1.5pt" o:hralign="center" o:hrstd="t" o:hr="t"/>
        </w:pict>
      </w:r>
    </w:p>
    <w:bookmarkEnd w:id="21"/>
    <w:bookmarkStart w:id="22" w:name="question-3-c-library-size-and-tmm"/>
    <w:p>
      <w:pPr>
        <w:pStyle w:val="Heading3"/>
      </w:pPr>
      <w:r>
        <w:t xml:space="preserve">Question 3 [C] — Library Size and TMM</w:t>
      </w:r>
    </w:p>
    <w:p>
      <w:pPr>
        <w:pStyle w:val="FirstParagraph"/>
      </w:pPr>
      <w:r>
        <w:t xml:space="preserve">In RNA-seq experiments such as GSE46579, raw read counts cannot be directly compared between samples. Explain why library size variation arises and how TMM (Trimmed Mean of M-values) normalization accounts for it. Specifically, describe what percentage of genes is trimmed from each tail in the default TMM implementation and the biological rationale for that trimming strategy.</w:t>
      </w:r>
    </w:p>
    <w:p>
      <w:pPr>
        <w:pStyle w:val="BodyText"/>
      </w:pPr>
      <w:r>
        <w:t xml:space="preserve">In GSE46579 a single red-blood-cell miRNA, miR-486-5p, accounts for roughly 90% of all miRNA reads in every sample. Explain why this makes a composition-aware method (TMM or DESeq2’s median-of-ratios) essential, rather than simply dividing each sample by its total read count.</w:t>
      </w:r>
    </w:p>
    <w:p>
      <w:r>
        <w:pict>
          <v:rect style="width:0;height:1.5pt" o:hralign="center" o:hrstd="t" o:hr="t"/>
        </w:pict>
      </w:r>
    </w:p>
    <w:bookmarkEnd w:id="22"/>
    <w:bookmarkStart w:id="23" w:name="question-4-c-hemolysis-detection"/>
    <w:p>
      <w:pPr>
        <w:pStyle w:val="Heading3"/>
      </w:pPr>
      <w:r>
        <w:t xml:space="preserve">Question 4 [C] — Hemolysis Detection</w:t>
      </w:r>
    </w:p>
    <w:p>
      <w:pPr>
        <w:pStyle w:val="FirstParagraph"/>
      </w:pPr>
      <w:r>
        <w:t xml:space="preserve">The hemolysis index used in this course is based on the ratio of miR-451a to miR-23a-3p. Explain (a) why these two miRNAs serve as a hemolysis proxy, (b) what a high ratio versus a low ratio indicates about sample quality, and (c) what clinical consequence arises if hemolyzed samples are retained asymmetrically across disease groups (i.e., if AD samples have higher hemolysis rates than controls).</w:t>
      </w:r>
    </w:p>
    <w:p>
      <w:pPr>
        <w:pStyle w:val="BodyText"/>
      </w:pPr>
      <w:r>
        <w:t xml:space="preserve">Finally, (d) explain why the script does not apply this index to GSE46579 (Section 19): what is different about whole blood compared with serum?</w:t>
      </w:r>
    </w:p>
    <w:p>
      <w:r>
        <w:pict>
          <v:rect style="width:0;height:1.5pt" o:hralign="center" o:hrstd="t" o:hr="t"/>
        </w:pict>
      </w:r>
    </w:p>
    <w:bookmarkEnd w:id="23"/>
    <w:bookmarkStart w:id="24" w:name="question-5-c-combat-batch-correction"/>
    <w:p>
      <w:pPr>
        <w:pStyle w:val="Heading3"/>
      </w:pPr>
      <w:r>
        <w:t xml:space="preserve">Question 5 [C] — ComBat Batch Correction</w:t>
      </w:r>
    </w:p>
    <w:p>
      <w:pPr>
        <w:pStyle w:val="FirstParagraph"/>
      </w:pPr>
      <w:r>
        <w:t xml:space="preserve">ComBat uses an empirical Bayes framework to estimate batch effects. Explain (a) how the</w:t>
      </w:r>
      <w:r>
        <w:t xml:space="preserve"> </w:t>
      </w:r>
      <w:r>
        <w:rPr>
          <w:rStyle w:val="VerbatimChar"/>
        </w:rPr>
        <w:t xml:space="preserve">mod</w:t>
      </w:r>
      <w:r>
        <w:t xml:space="preserve"> </w:t>
      </w:r>
      <w:r>
        <w:t xml:space="preserve">argument in</w:t>
      </w:r>
      <w:r>
        <w:t xml:space="preserve"> </w:t>
      </w:r>
      <w:r>
        <w:rPr>
          <w:rStyle w:val="VerbatimChar"/>
        </w:rPr>
        <w:t xml:space="preserve">ComBat()</w:t>
      </w:r>
      <w:r>
        <w:t xml:space="preserve"> </w:t>
      </w:r>
      <w:r>
        <w:t xml:space="preserve">protects biological signal during correction, (b) what</w:t>
      </w:r>
      <w:r>
        <w:t xml:space="preserve"> </w:t>
      </w:r>
      <w:r>
        <w:t xml:space="preserve">“</w:t>
      </w:r>
      <w:r>
        <w:t xml:space="preserve">perfect confounding</w:t>
      </w:r>
      <w:r>
        <w:t xml:space="preserve">”</w:t>
      </w:r>
      <w:r>
        <w:t xml:space="preserve"> </w:t>
      </w:r>
      <w:r>
        <w:t xml:space="preserve">means in the context of batch correction, and (c) how you would detect whether a batch effect has been successfully removed using a PCA-based assessment.</w:t>
      </w:r>
    </w:p>
    <w:p>
      <w:r>
        <w:pict>
          <v:rect style="width:0;height:1.5pt" o:hralign="center" o:hrstd="t" o:hr="t"/>
        </w:pict>
      </w:r>
    </w:p>
    <w:bookmarkEnd w:id="24"/>
    <w:bookmarkStart w:id="25" w:name="question-6-r-sample-metadata-extraction"/>
    <w:p>
      <w:pPr>
        <w:pStyle w:val="Heading3"/>
      </w:pPr>
      <w:r>
        <w:t xml:space="preserve">Question 6 [R] — Sample Metadata Extraction</w:t>
      </w:r>
    </w:p>
    <w:p>
      <w:pPr>
        <w:pStyle w:val="FirstParagraph"/>
      </w:pPr>
      <w:r>
        <w:t xml:space="preserve">Run the metadata extraction section (Section 4) of</w:t>
      </w:r>
      <w:r>
        <w:t xml:space="preserve"> </w:t>
      </w:r>
      <w:r>
        <w:rPr>
          <w:rStyle w:val="VerbatimChar"/>
        </w:rPr>
        <w:t xml:space="preserve">Week2_DataAcquisition_QC.R</w:t>
      </w:r>
      <w:r>
        <w:t xml:space="preserve">. GSE120584 contains five diagnoses; the script keeps AD, MCI and cognitively normal controls (NC →</w:t>
      </w:r>
      <w:r>
        <w:t xml:space="preserve"> </w:t>
      </w:r>
      <w:r>
        <w:t xml:space="preserve">“</w:t>
      </w:r>
      <w:r>
        <w:t xml:space="preserve">Control</w:t>
      </w:r>
      <w:r>
        <w:t xml:space="preserve">”</w:t>
      </w:r>
      <w:r>
        <w:t xml:space="preserve">). Report:</w:t>
      </w:r>
    </w:p>
    <w:p>
      <w:pPr>
        <w:numPr>
          <w:ilvl w:val="0"/>
          <w:numId w:val="1002"/>
        </w:numPr>
        <w:pStyle w:val="Compact"/>
      </w:pPr>
      <w:r>
        <w:t xml:space="preserve">The exact number of samples in each of the three groups (AD, MCI, Control)</w:t>
      </w:r>
    </w:p>
    <w:p>
      <w:pPr>
        <w:numPr>
          <w:ilvl w:val="0"/>
          <w:numId w:val="1002"/>
        </w:numPr>
        <w:pStyle w:val="Compact"/>
      </w:pPr>
      <w:r>
        <w:t xml:space="preserve">The sex distribution (female/male counts) per group</w:t>
      </w:r>
    </w:p>
    <w:p>
      <w:pPr>
        <w:numPr>
          <w:ilvl w:val="0"/>
          <w:numId w:val="1002"/>
        </w:numPr>
        <w:pStyle w:val="Compact"/>
      </w:pPr>
      <w:r>
        <w:t xml:space="preserve">The mean and standard deviation of age per group</w:t>
      </w:r>
    </w:p>
    <w:p>
      <w:pPr>
        <w:pStyle w:val="FirstParagraph"/>
      </w:pPr>
      <w:r>
        <w:t xml:space="preserve">Are the three groups balanced for group size, age and sex? What consequences does this have for the analyses in Weeks 3–5?</w:t>
      </w:r>
    </w:p>
    <w:p>
      <w:r>
        <w:pict>
          <v:rect style="width:0;height:1.5pt" o:hralign="center" o:hrstd="t" o:hr="t"/>
        </w:pict>
      </w:r>
    </w:p>
    <w:bookmarkEnd w:id="25"/>
    <w:bookmarkStart w:id="26" w:name="question-7-r-low-expression-filtering"/>
    <w:p>
      <w:pPr>
        <w:pStyle w:val="Heading3"/>
      </w:pPr>
      <w:r>
        <w:t xml:space="preserve">Question 7 [R] — Low-Expression Filtering</w:t>
      </w:r>
    </w:p>
    <w:p>
      <w:pPr>
        <w:pStyle w:val="FirstParagraph"/>
      </w:pPr>
      <w:r>
        <w:t xml:space="preserve">The two datasets need different filters because they are different data types.</w:t>
      </w:r>
    </w:p>
    <w:p>
      <w:pPr>
        <w:pStyle w:val="BodyText"/>
      </w:pPr>
      <w:r>
        <w:rPr>
          <w:bCs/>
          <w:b/>
        </w:rPr>
        <w:t xml:space="preserve">GSE46579 (RNA-seq counts).</w:t>
      </w:r>
      <w:r>
        <w:t xml:space="preserve"> </w:t>
      </w:r>
      <w:r>
        <w:t xml:space="preserve">Run the</w:t>
      </w:r>
      <w:r>
        <w:t xml:space="preserve"> </w:t>
      </w:r>
      <w:r>
        <w:rPr>
          <w:rStyle w:val="VerbatimChar"/>
        </w:rPr>
        <w:t xml:space="preserve">filterByExpr()</w:t>
      </w:r>
      <w:r>
        <w:t xml:space="preserve"> </w:t>
      </w:r>
      <w:r>
        <w:t xml:space="preserve">step (Section 18A). Report:</w:t>
      </w:r>
    </w:p>
    <w:p>
      <w:pPr>
        <w:numPr>
          <w:ilvl w:val="0"/>
          <w:numId w:val="1003"/>
        </w:numPr>
        <w:pStyle w:val="Compact"/>
      </w:pPr>
      <w:r>
        <w:t xml:space="preserve">The number of miRNAs present before filtering</w:t>
      </w:r>
    </w:p>
    <w:p>
      <w:pPr>
        <w:numPr>
          <w:ilvl w:val="0"/>
          <w:numId w:val="1003"/>
        </w:numPr>
        <w:pStyle w:val="Compact"/>
      </w:pPr>
      <w:r>
        <w:t xml:space="preserve">The number of miRNAs retained after filtering</w:t>
      </w:r>
    </w:p>
    <w:p>
      <w:pPr>
        <w:numPr>
          <w:ilvl w:val="0"/>
          <w:numId w:val="1003"/>
        </w:numPr>
        <w:pStyle w:val="Compact"/>
      </w:pPr>
      <w:r>
        <w:t xml:space="preserve">The percentage removed</w:t>
      </w:r>
    </w:p>
    <w:p>
      <w:pPr>
        <w:pStyle w:val="FirstParagraph"/>
      </w:pPr>
      <w:r>
        <w:t xml:space="preserve">Then compute the fraction of samples in which the least-expressed retained miRNA has zero counts. What does the retention of this miRNA imply about the minimum expression threshold that</w:t>
      </w:r>
      <w:r>
        <w:t xml:space="preserve"> </w:t>
      </w:r>
      <w:r>
        <w:rPr>
          <w:rStyle w:val="VerbatimChar"/>
        </w:rPr>
        <w:t xml:space="preserve">filterByExpr()</w:t>
      </w:r>
      <w:r>
        <w:t xml:space="preserve"> </w:t>
      </w:r>
      <w:r>
        <w:t xml:space="preserve">applies?</w:t>
      </w:r>
    </w:p>
    <w:p>
      <w:pPr>
        <w:pStyle w:val="BodyText"/>
      </w:pPr>
      <w:r>
        <w:rPr>
          <w:bCs/>
          <w:b/>
        </w:rPr>
        <w:t xml:space="preserve">GSE120584 (microarray).</w:t>
      </w:r>
      <w:r>
        <w:t xml:space="preserve"> </w:t>
      </w:r>
      <w:r>
        <w:t xml:space="preserve">(d) Report the number of miRNAs before and after the detection-rate filter (Section 7), and explain why</w:t>
      </w:r>
      <w:r>
        <w:t xml:space="preserve"> </w:t>
      </w:r>
      <w:r>
        <w:rPr>
          <w:rStyle w:val="VerbatimChar"/>
        </w:rPr>
        <w:t xml:space="preserve">filterByExpr()</w:t>
      </w:r>
      <w:r>
        <w:t xml:space="preserve"> </w:t>
      </w:r>
      <w:r>
        <w:t xml:space="preserve">cannot be used on this dataset.</w:t>
      </w:r>
    </w:p>
    <w:p>
      <w:r>
        <w:pict>
          <v:rect style="width:0;height:1.5pt" o:hralign="center" o:hrstd="t" o:hr="t"/>
        </w:pict>
      </w:r>
    </w:p>
    <w:bookmarkEnd w:id="26"/>
    <w:bookmarkStart w:id="27" w:name="X8fff56dff23837934e141f70141758ee3bef81a"/>
    <w:p>
      <w:pPr>
        <w:pStyle w:val="Heading3"/>
      </w:pPr>
      <w:r>
        <w:t xml:space="preserve">Question 8 [R] — VST Normalization Summary (GSE46579)</w:t>
      </w:r>
    </w:p>
    <w:p>
      <w:pPr>
        <w:pStyle w:val="FirstParagraph"/>
      </w:pPr>
      <w:r>
        <w:t xml:space="preserve">After running the DESeq2 variance-stabilizing transformation on the GSE46579 count data (Section 18B), run:</w:t>
      </w:r>
    </w:p>
    <w:p>
      <w:pPr>
        <w:pStyle w:val="SourceCode"/>
      </w:pPr>
      <w:r>
        <w:rPr>
          <w:rStyle w:val="VerbatimChar"/>
        </w:rPr>
        <w:t xml:space="preserve">cat("Median library size (pre-VST):", median(colSums(counts(dds_46))), "\n")</w:t>
      </w:r>
      <w:r>
        <w:br/>
      </w:r>
      <w:r>
        <w:rPr>
          <w:rStyle w:val="VerbatimChar"/>
        </w:rPr>
        <w:t xml:space="preserve">cat("VST expression range:", round(range(expr_vst_46), 3), "\n")</w:t>
      </w:r>
      <w:r>
        <w:br/>
      </w:r>
      <w:r>
        <w:rPr>
          <w:rStyle w:val="VerbatimChar"/>
        </w:rPr>
        <w:t xml:space="preserve">cat("Mean per-sample SD (post-VST):", round(mean(apply(expr_vst_46, 2, sd)), 4), "\n")</w:t>
      </w:r>
    </w:p>
    <w:p>
      <w:pPr>
        <w:pStyle w:val="FirstParagraph"/>
      </w:pPr>
      <w:r>
        <w:t xml:space="preserve">Report the three values. Explain why the per-sample standard deviation should be approximately equal across all samples after VST and what it would mean if one sample had a dramatically higher SD than the others. Use</w:t>
      </w:r>
      <w:r>
        <w:t xml:space="preserve"> </w:t>
      </w:r>
      <w:r>
        <w:rPr>
          <w:rStyle w:val="VerbatimChar"/>
        </w:rPr>
        <w:t xml:space="preserve">sort(apply(expr_vst_46, 2, sd), decreasing = TRUE)[1:3]</w:t>
      </w:r>
      <w:r>
        <w:t xml:space="preserve"> </w:t>
      </w:r>
      <w:r>
        <w:t xml:space="preserve">to find the samples with the highest SD, and check whether any of them was later excluded in the QC log (Section 19D).</w:t>
      </w:r>
    </w:p>
    <w:p>
      <w:r>
        <w:pict>
          <v:rect style="width:0;height:1.5pt" o:hralign="center" o:hrstd="t" o:hr="t"/>
        </w:pict>
      </w:r>
    </w:p>
    <w:bookmarkEnd w:id="27"/>
    <w:bookmarkStart w:id="28" w:name="question-9-r-pca-and-batch-assessment"/>
    <w:p>
      <w:pPr>
        <w:pStyle w:val="Heading3"/>
      </w:pPr>
      <w:r>
        <w:t xml:space="preserve">Question 9 [R] — PCA and Batch Assessment</w:t>
      </w:r>
    </w:p>
    <w:p>
      <w:pPr>
        <w:pStyle w:val="FirstParagraph"/>
      </w:pPr>
      <w:r>
        <w:t xml:space="preserve">Run the PCA sections for both datasets (Section 10 for GSE120584; Section 19B for GSE46579) and the batch-detection step in Section 13. Report:</w:t>
      </w:r>
    </w:p>
    <w:p>
      <w:pPr>
        <w:numPr>
          <w:ilvl w:val="0"/>
          <w:numId w:val="1004"/>
        </w:numPr>
        <w:pStyle w:val="Compact"/>
      </w:pPr>
      <w:r>
        <w:t xml:space="preserve">The percentage of variance explained by PC1 and PC2 in each dataset</w:t>
      </w:r>
    </w:p>
    <w:p>
      <w:pPr>
        <w:numPr>
          <w:ilvl w:val="0"/>
          <w:numId w:val="1004"/>
        </w:numPr>
        <w:pStyle w:val="Compact"/>
      </w:pPr>
      <w:r>
        <w:t xml:space="preserve">Whether ComBat was applied to GSE120584, and why or why not</w:t>
      </w:r>
    </w:p>
    <w:p>
      <w:pPr>
        <w:numPr>
          <w:ilvl w:val="0"/>
          <w:numId w:val="1004"/>
        </w:numPr>
        <w:pStyle w:val="Compact"/>
      </w:pPr>
      <w:r>
        <w:t xml:space="preserve">For each dataset, whether the disease groups separate along PC1 or PC2</w:t>
      </w:r>
    </w:p>
    <w:p>
      <w:pPr>
        <w:pStyle w:val="FirstParagraph"/>
      </w:pPr>
      <w:r>
        <w:t xml:space="preserve">Provide a one-sentence biological interpretation of what PC1 is likely capturing in GSE120584, bearing in mind that Controls are on average about 7 years younger than AD patients.</w:t>
      </w:r>
    </w:p>
    <w:p>
      <w:r>
        <w:pict>
          <v:rect style="width:0;height:1.5pt" o:hralign="center" o:hrstd="t" o:hr="t"/>
        </w:pict>
      </w:r>
    </w:p>
    <w:bookmarkEnd w:id="28"/>
    <w:bookmarkStart w:id="29" w:name="question-10-c-confounded-batch-design"/>
    <w:p>
      <w:pPr>
        <w:pStyle w:val="Heading3"/>
      </w:pPr>
      <w:r>
        <w:t xml:space="preserve">Question 10 [C] — Confounded Batch Design</w:t>
      </w:r>
    </w:p>
    <w:p>
      <w:pPr>
        <w:pStyle w:val="FirstParagraph"/>
      </w:pPr>
      <w:r>
        <w:t xml:space="preserve">Your collaborator collected GSE120584 samples over two years: all Control samples in Year 1, all AD and MCI samples in Year 2. RNA extraction kits were updated between years.</w:t>
      </w:r>
    </w:p>
    <w:p>
      <w:pPr>
        <w:numPr>
          <w:ilvl w:val="0"/>
          <w:numId w:val="1005"/>
        </w:numPr>
        <w:pStyle w:val="Compact"/>
      </w:pPr>
      <w:r>
        <w:t xml:space="preserve">Explain why standard ComBat cannot correct for this batch effect.</w:t>
      </w:r>
    </w:p>
    <w:p>
      <w:pPr>
        <w:numPr>
          <w:ilvl w:val="0"/>
          <w:numId w:val="1005"/>
        </w:numPr>
        <w:pStyle w:val="Compact"/>
      </w:pPr>
      <w:r>
        <w:t xml:space="preserve">Propose two study design changes that could have prevented this confounding at the time of sample collection.</w:t>
      </w:r>
    </w:p>
    <w:p>
      <w:pPr>
        <w:numPr>
          <w:ilvl w:val="0"/>
          <w:numId w:val="1005"/>
        </w:numPr>
        <w:pStyle w:val="Compact"/>
      </w:pPr>
      <w:r>
        <w:t xml:space="preserve">If you were forced to proceed with the confounded data, describe one analysis strategy that could partially mitigate the problem and its key limitation.</w:t>
      </w:r>
    </w:p>
    <w:bookmarkEnd w:id="29"/>
    <w:bookmarkEnd w:id="30"/>
    <w:bookmarkEnd w:id="31"/>
    <w:sectPr>
      <w:type w:val="nextPage"/>
      <w:pgSz w:h="15840" w:w="12240"/>
      <w:pgMar w:bottom="1440" w:footer="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lowerLetter"/>
      <w:lvlText w:val="(%1)"/>
      <w:lvlJc w:val="left"/>
      <w:pPr>
        <w:tabs>
          <w:tab w:pos="0" w:val="num"/>
        </w:tabs>
        <w:ind w:hanging="480" w:left="720"/>
      </w:pPr>
      <w:rPr/>
    </w:lvl>
    <w:lvl w:ilvl="1">
      <w:start w:val="1"/>
      <w:numFmt w:val="lowerLetter"/>
      <w:lvlText w:val="(%2)"/>
      <w:lvlJc w:val="left"/>
      <w:pPr>
        <w:tabs>
          <w:tab w:pos="0" w:val="num"/>
        </w:tabs>
        <w:ind w:hanging="480" w:left="1440"/>
      </w:pPr>
      <w:rPr/>
    </w:lvl>
    <w:lvl w:ilvl="2">
      <w:start w:val="1"/>
      <w:numFmt w:val="lowerLetter"/>
      <w:lvlText w:val="(%3)"/>
      <w:lvlJc w:val="left"/>
      <w:pPr>
        <w:tabs>
          <w:tab w:pos="0" w:val="num"/>
        </w:tabs>
        <w:ind w:hanging="480" w:left="2160"/>
      </w:pPr>
      <w:rPr/>
    </w:lvl>
    <w:lvl w:ilvl="3">
      <w:start w:val="1"/>
      <w:numFmt w:val="lowerLetter"/>
      <w:lvlText w:val="(%4)"/>
      <w:lvlJc w:val="left"/>
      <w:pPr>
        <w:tabs>
          <w:tab w:pos="0" w:val="num"/>
        </w:tabs>
        <w:ind w:hanging="480" w:left="2880"/>
      </w:pPr>
      <w:rPr/>
    </w:lvl>
    <w:lvl w:ilvl="4">
      <w:start w:val="1"/>
      <w:numFmt w:val="lowerLetter"/>
      <w:lvlText w:val="(%5)"/>
      <w:lvlJc w:val="left"/>
      <w:pPr>
        <w:tabs>
          <w:tab w:pos="0" w:val="num"/>
        </w:tabs>
        <w:ind w:hanging="480" w:left="3600"/>
      </w:pPr>
      <w:rPr/>
    </w:lvl>
    <w:lvl w:ilvl="5">
      <w:start w:val="1"/>
      <w:numFmt w:val="lowerLetter"/>
      <w:lvlText w:val="(%6)"/>
      <w:lvlJc w:val="left"/>
      <w:pPr>
        <w:tabs>
          <w:tab w:pos="0" w:val="num"/>
        </w:tabs>
        <w:ind w:hanging="480" w:left="4320"/>
      </w:pPr>
      <w:rPr/>
    </w:lvl>
    <w:lvl w:ilvl="6">
      <w:start w:val="1"/>
      <w:numFmt w:val="lowerLetter"/>
      <w:lvlText w:val="(%7)"/>
      <w:lvlJc w:val="left"/>
      <w:pPr>
        <w:tabs>
          <w:tab w:pos="0" w:val="num"/>
        </w:tabs>
        <w:ind w:hanging="480" w:left="5040"/>
      </w:pPr>
      <w:rPr/>
    </w:lvl>
    <w:lvl w:ilvl="7">
      <w:start w:val="1"/>
      <w:numFmt w:val="lowerLetter"/>
      <w:lvlText w:val="(%8)"/>
      <w:lvlJc w:val="left"/>
      <w:pPr>
        <w:tabs>
          <w:tab w:pos="0" w:val="num"/>
        </w:tabs>
        <w:ind w:hanging="480" w:left="5760"/>
      </w:pPr>
      <w:rPr/>
    </w:lvl>
    <w:lvl w:ilvl="8">
      <w:start w:val="1"/>
      <w:numFmt w:val="lowerLetter"/>
      <w:lvlText w:val="(%9)"/>
      <w:lvlJc w:val="left"/>
      <w:pPr>
        <w:tabs>
          <w:tab w:pos="0" w:val="num"/>
        </w:tabs>
        <w:ind w:hanging="480" w:left="6480"/>
      </w:pPr>
      <w:rPr/>
    </w:lvl>
  </w:abstractNum>
  <w:abstractNum w:abstractNumId="2">
    <w:lvl w:ilvl="0">
      <w:start w:val="1"/>
      <w:numFmt w:val="lowerLetter"/>
      <w:lvlText w:val="(%1)"/>
      <w:lvlJc w:val="left"/>
      <w:pPr>
        <w:tabs>
          <w:tab w:pos="0" w:val="num"/>
        </w:tabs>
        <w:ind w:hanging="480" w:left="720"/>
      </w:pPr>
      <w:rPr/>
    </w:lvl>
    <w:lvl w:ilvl="1">
      <w:start w:val="1"/>
      <w:numFmt w:val="lowerLetter"/>
      <w:lvlText w:val="(%2)"/>
      <w:lvlJc w:val="left"/>
      <w:pPr>
        <w:tabs>
          <w:tab w:pos="0" w:val="num"/>
        </w:tabs>
        <w:ind w:hanging="480" w:left="1440"/>
      </w:pPr>
      <w:rPr/>
    </w:lvl>
    <w:lvl w:ilvl="2">
      <w:start w:val="1"/>
      <w:numFmt w:val="lowerLetter"/>
      <w:lvlText w:val="(%3)"/>
      <w:lvlJc w:val="left"/>
      <w:pPr>
        <w:tabs>
          <w:tab w:pos="0" w:val="num"/>
        </w:tabs>
        <w:ind w:hanging="480" w:left="2160"/>
      </w:pPr>
      <w:rPr/>
    </w:lvl>
    <w:lvl w:ilvl="3">
      <w:start w:val="1"/>
      <w:numFmt w:val="lowerLetter"/>
      <w:lvlText w:val="(%4)"/>
      <w:lvlJc w:val="left"/>
      <w:pPr>
        <w:tabs>
          <w:tab w:pos="0" w:val="num"/>
        </w:tabs>
        <w:ind w:hanging="480" w:left="2880"/>
      </w:pPr>
      <w:rPr/>
    </w:lvl>
    <w:lvl w:ilvl="4">
      <w:start w:val="1"/>
      <w:numFmt w:val="lowerLetter"/>
      <w:lvlText w:val="(%5)"/>
      <w:lvlJc w:val="left"/>
      <w:pPr>
        <w:tabs>
          <w:tab w:pos="0" w:val="num"/>
        </w:tabs>
        <w:ind w:hanging="480" w:left="3600"/>
      </w:pPr>
      <w:rPr/>
    </w:lvl>
    <w:lvl w:ilvl="5">
      <w:start w:val="1"/>
      <w:numFmt w:val="lowerLetter"/>
      <w:lvlText w:val="(%6)"/>
      <w:lvlJc w:val="left"/>
      <w:pPr>
        <w:tabs>
          <w:tab w:pos="0" w:val="num"/>
        </w:tabs>
        <w:ind w:hanging="480" w:left="4320"/>
      </w:pPr>
      <w:rPr/>
    </w:lvl>
    <w:lvl w:ilvl="6">
      <w:start w:val="1"/>
      <w:numFmt w:val="lowerLetter"/>
      <w:lvlText w:val="(%7)"/>
      <w:lvlJc w:val="left"/>
      <w:pPr>
        <w:tabs>
          <w:tab w:pos="0" w:val="num"/>
        </w:tabs>
        <w:ind w:hanging="480" w:left="5040"/>
      </w:pPr>
      <w:rPr/>
    </w:lvl>
    <w:lvl w:ilvl="7">
      <w:start w:val="1"/>
      <w:numFmt w:val="lowerLetter"/>
      <w:lvlText w:val="(%8)"/>
      <w:lvlJc w:val="left"/>
      <w:pPr>
        <w:tabs>
          <w:tab w:pos="0" w:val="num"/>
        </w:tabs>
        <w:ind w:hanging="480" w:left="5760"/>
      </w:pPr>
      <w:rPr/>
    </w:lvl>
    <w:lvl w:ilvl="8">
      <w:start w:val="1"/>
      <w:numFmt w:val="lowerLetter"/>
      <w:lvlText w:val="(%9)"/>
      <w:lvlJc w:val="left"/>
      <w:pPr>
        <w:tabs>
          <w:tab w:pos="0" w:val="num"/>
        </w:tabs>
        <w:ind w:hanging="480" w:left="6480"/>
      </w:pPr>
      <w:rPr/>
    </w:lvl>
  </w:abstractNum>
  <w:abstractNum w:abstractNumId="3">
    <w:lvl w:ilvl="0">
      <w:start w:val="1"/>
      <w:numFmt w:val="lowerLetter"/>
      <w:lvlText w:val="(%1)"/>
      <w:lvlJc w:val="left"/>
      <w:pPr>
        <w:tabs>
          <w:tab w:pos="0" w:val="num"/>
        </w:tabs>
        <w:ind w:hanging="480" w:left="720"/>
      </w:pPr>
      <w:rPr/>
    </w:lvl>
    <w:lvl w:ilvl="1">
      <w:start w:val="1"/>
      <w:numFmt w:val="lowerLetter"/>
      <w:lvlText w:val="(%2)"/>
      <w:lvlJc w:val="left"/>
      <w:pPr>
        <w:tabs>
          <w:tab w:pos="0" w:val="num"/>
        </w:tabs>
        <w:ind w:hanging="480" w:left="1440"/>
      </w:pPr>
      <w:rPr/>
    </w:lvl>
    <w:lvl w:ilvl="2">
      <w:start w:val="1"/>
      <w:numFmt w:val="lowerLetter"/>
      <w:lvlText w:val="(%3)"/>
      <w:lvlJc w:val="left"/>
      <w:pPr>
        <w:tabs>
          <w:tab w:pos="0" w:val="num"/>
        </w:tabs>
        <w:ind w:hanging="480" w:left="2160"/>
      </w:pPr>
      <w:rPr/>
    </w:lvl>
    <w:lvl w:ilvl="3">
      <w:start w:val="1"/>
      <w:numFmt w:val="lowerLetter"/>
      <w:lvlText w:val="(%4)"/>
      <w:lvlJc w:val="left"/>
      <w:pPr>
        <w:tabs>
          <w:tab w:pos="0" w:val="num"/>
        </w:tabs>
        <w:ind w:hanging="480" w:left="2880"/>
      </w:pPr>
      <w:rPr/>
    </w:lvl>
    <w:lvl w:ilvl="4">
      <w:start w:val="1"/>
      <w:numFmt w:val="lowerLetter"/>
      <w:lvlText w:val="(%5)"/>
      <w:lvlJc w:val="left"/>
      <w:pPr>
        <w:tabs>
          <w:tab w:pos="0" w:val="num"/>
        </w:tabs>
        <w:ind w:hanging="480" w:left="3600"/>
      </w:pPr>
      <w:rPr/>
    </w:lvl>
    <w:lvl w:ilvl="5">
      <w:start w:val="1"/>
      <w:numFmt w:val="lowerLetter"/>
      <w:lvlText w:val="(%6)"/>
      <w:lvlJc w:val="left"/>
      <w:pPr>
        <w:tabs>
          <w:tab w:pos="0" w:val="num"/>
        </w:tabs>
        <w:ind w:hanging="480" w:left="4320"/>
      </w:pPr>
      <w:rPr/>
    </w:lvl>
    <w:lvl w:ilvl="6">
      <w:start w:val="1"/>
      <w:numFmt w:val="lowerLetter"/>
      <w:lvlText w:val="(%7)"/>
      <w:lvlJc w:val="left"/>
      <w:pPr>
        <w:tabs>
          <w:tab w:pos="0" w:val="num"/>
        </w:tabs>
        <w:ind w:hanging="480" w:left="5040"/>
      </w:pPr>
      <w:rPr/>
    </w:lvl>
    <w:lvl w:ilvl="7">
      <w:start w:val="1"/>
      <w:numFmt w:val="lowerLetter"/>
      <w:lvlText w:val="(%8)"/>
      <w:lvlJc w:val="left"/>
      <w:pPr>
        <w:tabs>
          <w:tab w:pos="0" w:val="num"/>
        </w:tabs>
        <w:ind w:hanging="480" w:left="5760"/>
      </w:pPr>
      <w:rPr/>
    </w:lvl>
    <w:lvl w:ilvl="8">
      <w:start w:val="1"/>
      <w:numFmt w:val="lowerLetter"/>
      <w:lvlText w:val="(%9)"/>
      <w:lvlJc w:val="left"/>
      <w:pPr>
        <w:tabs>
          <w:tab w:pos="0" w:val="num"/>
        </w:tabs>
        <w:ind w:hanging="480" w:left="6480"/>
      </w:pPr>
      <w:rPr/>
    </w:lvl>
  </w:abstractNum>
  <w:abstractNum w:abstractNumId="4">
    <w:lvl w:ilvl="0">
      <w:start w:val="1"/>
      <w:numFmt w:val="lowerLetter"/>
      <w:lvlText w:val="(%1)"/>
      <w:lvlJc w:val="left"/>
      <w:pPr>
        <w:tabs>
          <w:tab w:pos="0" w:val="num"/>
        </w:tabs>
        <w:ind w:hanging="480" w:left="720"/>
      </w:pPr>
      <w:rPr/>
    </w:lvl>
    <w:lvl w:ilvl="1">
      <w:start w:val="1"/>
      <w:numFmt w:val="lowerLetter"/>
      <w:lvlText w:val="(%2)"/>
      <w:lvlJc w:val="left"/>
      <w:pPr>
        <w:tabs>
          <w:tab w:pos="0" w:val="num"/>
        </w:tabs>
        <w:ind w:hanging="480" w:left="1440"/>
      </w:pPr>
      <w:rPr/>
    </w:lvl>
    <w:lvl w:ilvl="2">
      <w:start w:val="1"/>
      <w:numFmt w:val="lowerLetter"/>
      <w:lvlText w:val="(%3)"/>
      <w:lvlJc w:val="left"/>
      <w:pPr>
        <w:tabs>
          <w:tab w:pos="0" w:val="num"/>
        </w:tabs>
        <w:ind w:hanging="480" w:left="2160"/>
      </w:pPr>
      <w:rPr/>
    </w:lvl>
    <w:lvl w:ilvl="3">
      <w:start w:val="1"/>
      <w:numFmt w:val="lowerLetter"/>
      <w:lvlText w:val="(%4)"/>
      <w:lvlJc w:val="left"/>
      <w:pPr>
        <w:tabs>
          <w:tab w:pos="0" w:val="num"/>
        </w:tabs>
        <w:ind w:hanging="480" w:left="2880"/>
      </w:pPr>
      <w:rPr/>
    </w:lvl>
    <w:lvl w:ilvl="4">
      <w:start w:val="1"/>
      <w:numFmt w:val="lowerLetter"/>
      <w:lvlText w:val="(%5)"/>
      <w:lvlJc w:val="left"/>
      <w:pPr>
        <w:tabs>
          <w:tab w:pos="0" w:val="num"/>
        </w:tabs>
        <w:ind w:hanging="480" w:left="3600"/>
      </w:pPr>
      <w:rPr/>
    </w:lvl>
    <w:lvl w:ilvl="5">
      <w:start w:val="1"/>
      <w:numFmt w:val="lowerLetter"/>
      <w:lvlText w:val="(%6)"/>
      <w:lvlJc w:val="left"/>
      <w:pPr>
        <w:tabs>
          <w:tab w:pos="0" w:val="num"/>
        </w:tabs>
        <w:ind w:hanging="480" w:left="4320"/>
      </w:pPr>
      <w:rPr/>
    </w:lvl>
    <w:lvl w:ilvl="6">
      <w:start w:val="1"/>
      <w:numFmt w:val="lowerLetter"/>
      <w:lvlText w:val="(%7)"/>
      <w:lvlJc w:val="left"/>
      <w:pPr>
        <w:tabs>
          <w:tab w:pos="0" w:val="num"/>
        </w:tabs>
        <w:ind w:hanging="480" w:left="5040"/>
      </w:pPr>
      <w:rPr/>
    </w:lvl>
    <w:lvl w:ilvl="7">
      <w:start w:val="1"/>
      <w:numFmt w:val="lowerLetter"/>
      <w:lvlText w:val="(%8)"/>
      <w:lvlJc w:val="left"/>
      <w:pPr>
        <w:tabs>
          <w:tab w:pos="0" w:val="num"/>
        </w:tabs>
        <w:ind w:hanging="480" w:left="5760"/>
      </w:pPr>
      <w:rPr/>
    </w:lvl>
    <w:lvl w:ilvl="8">
      <w:start w:val="1"/>
      <w:numFmt w:val="lowerLetter"/>
      <w:lvlText w:val="(%9)"/>
      <w:lvlJc w:val="left"/>
      <w:pPr>
        <w:tabs>
          <w:tab w:pos="0" w:val="num"/>
        </w:tabs>
        <w:ind w:hanging="480" w:left="6480"/>
      </w:pPr>
      <w:rPr/>
    </w:lvl>
  </w:abstractNum>
  <w:abstractNum w:abstractNumId="5">
    <w:lvl w:ilvl="0">
      <w:start w:val="1"/>
      <w:numFmt w:val="none"/>
      <w:suff w:val="nothing"/>
      <w:lvlText w:val=""/>
      <w:lvlJc w:val="left"/>
      <w:pPr>
        <w:tabs>
          <w:tab w:pos="0" w:val="num"/>
        </w:tabs>
        <w:ind w:hanging="0" w:left="0"/>
      </w:pPr>
    </w:lvl>
    <w:lvl w:ilvl="1">
      <w:start w:val="1"/>
      <w:numFmt w:val="none"/>
      <w:suff w:val="nothing"/>
      <w:lvlText w:val=""/>
      <w:lvlJc w:val="left"/>
      <w:pPr>
        <w:tabs>
          <w:tab w:pos="0" w:val="num"/>
        </w:tabs>
        <w:ind w:hanging="0" w:left="0"/>
      </w:pPr>
    </w:lvl>
    <w:lvl w:ilvl="2">
      <w:start w:val="1"/>
      <w:numFmt w:val="none"/>
      <w:suff w:val="nothing"/>
      <w:lvlText w:val=""/>
      <w:lvlJc w:val="left"/>
      <w:pPr>
        <w:tabs>
          <w:tab w:pos="0" w:val="num"/>
        </w:tabs>
        <w:ind w:hanging="0" w:left="0"/>
      </w:pPr>
    </w:lvl>
    <w:lvl w:ilvl="3">
      <w:start w:val="1"/>
      <w:numFmt w:val="none"/>
      <w:suff w:val="nothing"/>
      <w:lvlText w:val=""/>
      <w:lvlJc w:val="left"/>
      <w:pPr>
        <w:tabs>
          <w:tab w:pos="0" w:val="num"/>
        </w:tabs>
        <w:ind w:hanging="0" w:left="0"/>
      </w:pPr>
    </w:lvl>
    <w:lvl w:ilvl="4">
      <w:start w:val="1"/>
      <w:numFmt w:val="none"/>
      <w:suff w:val="nothing"/>
      <w:lvlText w:val=""/>
      <w:lvlJc w:val="left"/>
      <w:pPr>
        <w:tabs>
          <w:tab w:pos="0" w:val="num"/>
        </w:tabs>
        <w:ind w:hanging="0" w:left="0"/>
      </w:pPr>
    </w:lvl>
    <w:lvl w:ilvl="5">
      <w:start w:val="1"/>
      <w:numFmt w:val="none"/>
      <w:suff w:val="nothing"/>
      <w:lvlText w:val=""/>
      <w:lvlJc w:val="left"/>
      <w:pPr>
        <w:tabs>
          <w:tab w:pos="0" w:val="num"/>
        </w:tabs>
        <w:ind w:hanging="0" w:left="0"/>
      </w:pPr>
    </w:lvl>
    <w:lvl w:ilvl="6">
      <w:start w:val="1"/>
      <w:numFmt w:val="none"/>
      <w:suff w:val="nothing"/>
      <w:lvlText w:val=""/>
      <w:lvlJc w:val="left"/>
      <w:pPr>
        <w:tabs>
          <w:tab w:pos="0" w:val="num"/>
        </w:tabs>
        <w:ind w:hanging="0" w:left="0"/>
      </w:pPr>
    </w:lvl>
    <w:lvl w:ilvl="7">
      <w:start w:val="1"/>
      <w:numFmt w:val="none"/>
      <w:suff w:val="nothing"/>
      <w:lvlText w:val=""/>
      <w:lvlJc w:val="left"/>
      <w:pPr>
        <w:tabs>
          <w:tab w:pos="0" w:val="num"/>
        </w:tabs>
        <w:ind w:hanging="0" w:left="0"/>
      </w:pPr>
    </w:lvl>
    <w:lvl w:ilvl="8">
      <w:start w:val="1"/>
      <w:numFmt w:val="none"/>
      <w:suff w:val="nothing"/>
      <w:lvlText w:val=""/>
      <w:lvlJc w:val="left"/>
      <w:pPr>
        <w:tabs>
          <w:tab w:pos="0" w:val="num"/>
        </w:tabs>
        <w:ind w:hanging="0" w:left="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1"/>
  </w:num>
  <w:num w:numId="2">
    <w:abstractNumId w:val="2"/>
  </w:num>
  <w:num w:numId="3">
    <w:abstractNumId w:val="3"/>
  </w:num>
  <w:num w:numId="4">
    <w:abstractNumId w:val="4"/>
  </w:num>
  <w:num w:numId="5">
    <w:abstractNumId w:val="5"/>
  </w:num>
  <w:num w:numId="6">
    <w:abstractNumId w:val="1"/>
    <w:lvlOverride w:ilvl="0">
      <w:startOverride w:val="1"/>
    </w:lvlOverride>
  </w:num>
  <w:num w:numId="7">
    <w:abstractNumId w:val="1"/>
    <w:lvlOverride w:ilvl="0">
      <w:startOverride w:val="1"/>
    </w:lvlOverride>
  </w:num>
  <w:num w:numId="8">
    <w:abstractNumId w:val="1"/>
  </w:num>
  <w:num w:numId="9">
    <w:abstractNumId w:val="1"/>
  </w:num>
  <w:num w:numId="10">
    <w:abstractNumId w:val="1"/>
    <w:lvlOverride w:ilvl="0">
      <w:startOverride w:val="1"/>
    </w:lvlOverride>
  </w:num>
  <w:num w:numId="11">
    <w:abstractNumId w:val="1"/>
  </w:num>
  <w:num w:numId="12">
    <w:abstractNumId w:val="1"/>
  </w:num>
  <w:num w:numId="13">
    <w:abstractNumId w:val="1"/>
    <w:lvlOverride w:ilvl="0">
      <w:startOverride w:val="1"/>
    </w:lvlOverride>
  </w:num>
  <w:num w:numId="14">
    <w:abstractNumId w:val="1"/>
  </w:num>
  <w:num w:numId="15">
    <w:abstractNumId w:val="1"/>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80"/>
  <w:embedSystemFonts/>
  <w:defaultTabStop w:val="720"/>
  <w:autoHyphenation w:val="true"/>
  <w:compat>
    <w:compatSetting w:name="compatibilityMode" w:uri="http://schemas.microsoft.com/office/word" w:val="12"/>
  </w:compat>
  <w:themeFontLang w:bidi="" w:eastAsia=""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276" w:defLockedState="0" w:defQFormat="0" w:defSemiHidden="0" w:defUIPriority="0" w:defUnhideWhenUsed="0"/>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BodyText"/>
    <w:uiPriority w:val="9"/>
    <w:qFormat/>
    <w:pPr>
      <w:keepNext w:val="true"/>
      <w:keepLines/>
      <w:spacing w:after="0" w:before="480"/>
      <w:outlineLvl w:val="0"/>
    </w:pPr>
    <w:rPr>
      <w:rFonts w:ascii="Calibri" w:asciiTheme="majorHAnsi" w:cs="" w:cstheme="majorBidi" w:eastAsia="" w:eastAsiaTheme="majorEastAsia" w:hAnsi="Calibri" w:hAnsiTheme="majorHAnsi"/>
      <w:b/>
      <w:bCs/>
      <w:color w:themeColor="accent1" w:val="4F81BD"/>
      <w:sz w:val="32"/>
      <w:szCs w:val="32"/>
    </w:rPr>
  </w:style>
  <w:style w:styleId="Heading2" w:type="paragraph">
    <w:name w:val="Heading 2"/>
    <w:basedOn w:val="Normal"/>
    <w:next w:val="BodyText"/>
    <w:uiPriority w:val="9"/>
    <w:unhideWhenUsed/>
    <w:qFormat/>
    <w:pPr>
      <w:keepNext w:val="true"/>
      <w:keepLines/>
      <w:spacing w:after="0" w:before="200"/>
      <w:outlineLvl w:val="1"/>
    </w:pPr>
    <w:rPr>
      <w:rFonts w:ascii="Calibri" w:asciiTheme="majorHAnsi" w:cs="" w:cstheme="majorBidi" w:eastAsia="" w:eastAsiaTheme="majorEastAsia" w:hAnsi="Calibri" w:hAnsiTheme="majorHAnsi"/>
      <w:b/>
      <w:bCs/>
      <w:color w:themeColor="accent1" w:val="4F81BD"/>
      <w:sz w:val="28"/>
      <w:szCs w:val="28"/>
    </w:rPr>
  </w:style>
  <w:style w:styleId="Heading3" w:type="paragraph">
    <w:name w:val="Heading 3"/>
    <w:basedOn w:val="Normal"/>
    <w:next w:val="BodyText"/>
    <w:uiPriority w:val="9"/>
    <w:unhideWhenUsed/>
    <w:qFormat/>
    <w:pPr>
      <w:keepNext w:val="true"/>
      <w:keepLines/>
      <w:spacing w:after="0" w:before="200"/>
      <w:outlineLvl w:val="2"/>
    </w:pPr>
    <w:rPr>
      <w:rFonts w:ascii="Calibri" w:asciiTheme="majorHAnsi" w:cs="" w:cstheme="majorBidi" w:eastAsia="" w:eastAsiaTheme="majorEastAsia" w:hAnsi="Calibri" w:hAnsiTheme="majorHAnsi"/>
      <w:b/>
      <w:bCs/>
      <w:color w:themeColor="accent1" w:val="4F81BD"/>
      <w:sz w:val="24"/>
      <w:szCs w:val="24"/>
    </w:rPr>
  </w:style>
  <w:style w:styleId="Heading4" w:type="paragraph">
    <w:name w:val="Heading 4"/>
    <w:basedOn w:val="Normal"/>
    <w:next w:val="BodyText"/>
    <w:uiPriority w:val="9"/>
    <w:unhideWhenUsed/>
    <w:qFormat/>
    <w:pPr>
      <w:keepNext w:val="true"/>
      <w:keepLines/>
      <w:spacing w:after="0" w:before="200"/>
      <w:outlineLvl w:val="3"/>
    </w:pPr>
    <w:rPr>
      <w:rFonts w:ascii="Calibri" w:asciiTheme="majorHAnsi" w:cs="" w:cstheme="majorBidi" w:eastAsia="" w:eastAsiaTheme="majorEastAsia" w:hAnsi="Calibri" w:hAnsiTheme="majorHAnsi"/>
      <w:bCs/>
      <w:i/>
      <w:color w:themeColor="accent1" w:val="4F81BD"/>
      <w:sz w:val="24"/>
      <w:szCs w:val="24"/>
    </w:rPr>
  </w:style>
  <w:style w:styleId="Heading5" w:type="paragraph">
    <w:name w:val="Heading 5"/>
    <w:basedOn w:val="Normal"/>
    <w:next w:val="BodyText"/>
    <w:uiPriority w:val="9"/>
    <w:unhideWhenUsed/>
    <w:qFormat/>
    <w:pPr>
      <w:keepNext w:val="true"/>
      <w:keepLines/>
      <w:spacing w:after="0" w:before="200"/>
      <w:outlineLvl w:val="4"/>
    </w:pPr>
    <w:rPr>
      <w:rFonts w:ascii="Calibri" w:asciiTheme="majorHAnsi" w:cs="" w:cstheme="majorBidi" w:eastAsia="" w:eastAsiaTheme="majorEastAsia" w:hAnsi="Calibri" w:hAnsiTheme="majorHAnsi"/>
      <w:iCs/>
      <w:color w:themeColor="accent1" w:val="4F81BD"/>
      <w:sz w:val="24"/>
      <w:szCs w:val="24"/>
    </w:rPr>
  </w:style>
  <w:style w:styleId="Heading6" w:type="paragraph">
    <w:name w:val="Heading 6"/>
    <w:basedOn w:val="Normal"/>
    <w:next w:val="BodyText"/>
    <w:uiPriority w:val="9"/>
    <w:unhideWhenUsed/>
    <w:qFormat/>
    <w:pPr>
      <w:keepNext w:val="true"/>
      <w:keepLines/>
      <w:spacing w:after="0" w:before="200"/>
      <w:outlineLvl w:val="5"/>
    </w:pPr>
    <w:rPr>
      <w:rFonts w:ascii="Calibri" w:asciiTheme="majorHAnsi" w:cs="" w:cstheme="majorBidi" w:eastAsia="" w:eastAsiaTheme="majorEastAsia" w:hAnsi="Calibri" w:hAnsiTheme="majorHAnsi"/>
      <w:color w:themeColor="accent1" w:val="4F81BD"/>
      <w:sz w:val="24"/>
      <w:szCs w:val="24"/>
    </w:rPr>
  </w:style>
  <w:style w:styleId="Heading7" w:type="paragraph">
    <w:name w:val="Heading 7"/>
    <w:basedOn w:val="Normal"/>
    <w:next w:val="BodyText"/>
    <w:uiPriority w:val="9"/>
    <w:unhideWhenUsed/>
    <w:qFormat/>
    <w:pPr>
      <w:keepNext w:val="true"/>
      <w:keepLines/>
      <w:spacing w:after="0" w:before="200"/>
      <w:outlineLvl w:val="6"/>
    </w:pPr>
    <w:rPr>
      <w:rFonts w:ascii="Calibri" w:asciiTheme="majorHAnsi" w:cs="" w:cstheme="majorBidi" w:eastAsia="" w:eastAsiaTheme="majorEastAsia" w:hAnsi="Calibri" w:hAnsiTheme="majorHAnsi"/>
      <w:color w:themeColor="accent1" w:val="4F81BD"/>
      <w:sz w:val="24"/>
      <w:szCs w:val="24"/>
    </w:rPr>
  </w:style>
  <w:style w:styleId="Heading8" w:type="paragraph">
    <w:name w:val="Heading 8"/>
    <w:basedOn w:val="Normal"/>
    <w:next w:val="BodyText"/>
    <w:uiPriority w:val="9"/>
    <w:unhideWhenUsed/>
    <w:qFormat/>
    <w:pPr>
      <w:keepNext w:val="true"/>
      <w:keepLines/>
      <w:spacing w:after="0" w:before="200"/>
      <w:outlineLvl w:val="7"/>
    </w:pPr>
    <w:rPr>
      <w:rFonts w:ascii="Calibri" w:asciiTheme="majorHAnsi" w:cs="" w:cstheme="majorBidi" w:eastAsia="" w:eastAsiaTheme="majorEastAsia" w:hAnsi="Calibri" w:hAnsiTheme="majorHAnsi"/>
      <w:color w:themeColor="accent1" w:val="4F81BD"/>
      <w:sz w:val="24"/>
      <w:szCs w:val="24"/>
    </w:rPr>
  </w:style>
  <w:style w:styleId="Heading9" w:type="paragraph">
    <w:name w:val="Heading 9"/>
    <w:basedOn w:val="Normal"/>
    <w:next w:val="BodyText"/>
    <w:uiPriority w:val="9"/>
    <w:unhideWhenUsed/>
    <w:qFormat/>
    <w:pPr>
      <w:keepNext w:val="true"/>
      <w:keepLines/>
      <w:spacing w:after="0" w:before="200"/>
      <w:outlineLvl w:val="8"/>
    </w:pPr>
    <w:rPr>
      <w:rFonts w:ascii="Calibri" w:asciiTheme="majorHAnsi" w:cs="" w:cstheme="majorBidi" w:eastAsia="" w:eastAsiaTheme="majorEastAsia" w:hAnsi="Calibri" w:hAnsiTheme="majorHAnsi"/>
      <w:color w:themeColor="accent1" w:val="4F81BD"/>
      <w:sz w:val="24"/>
      <w:szCs w:val="24"/>
    </w:rPr>
  </w:style>
  <w:style w:default="1" w:styleId="DefaultParagraphFont" w:type="character">
    <w:name w:val="Default Paragraph Font"/>
    <w:semiHidden/>
    <w:unhideWhenUsed/>
    <w:qFormat/>
    <w:rPr/>
  </w:style>
  <w:style w:customStyle="1" w:styleId="BodyTextChar" w:type="character">
    <w:name w:val="Body Text Char"/>
    <w:basedOn w:val="DefaultParagraphFont"/>
    <w:qFormat/>
    <w:rPr/>
  </w:style>
  <w:style w:customStyle="1" w:styleId="VerbatimChar" w:type="character">
    <w:name w:val="Verbatim Char"/>
    <w:basedOn w:val="BodyTextChar"/>
    <w:qFormat/>
    <w:rPr>
      <w:rFonts w:ascii="Consolas" w:hAnsi="Consolas"/>
      <w:sz w:val="22"/>
    </w:rPr>
  </w:style>
  <w:style w:customStyle="1" w:styleId="SectionNumber" w:type="character">
    <w:name w:val="Section Number"/>
    <w:basedOn w:val="BodyTextChar"/>
    <w:qFormat/>
    <w:rPr/>
  </w:style>
  <w:style w:styleId="FootnoteCharacters" w:type="character">
    <w:name w:val="Footnote Characters"/>
    <w:basedOn w:val="BodyTextChar"/>
    <w:qFormat/>
    <w:rPr>
      <w:vertAlign w:val="superscript"/>
    </w:rPr>
  </w:style>
  <w:style w:styleId="FootnoteReference" w:type="character">
    <w:name w:val="Footnote Reference"/>
    <w:rPr>
      <w:vertAlign w:val="superscript"/>
    </w:rPr>
  </w:style>
  <w:style w:styleId="Hyperlink" w:type="character">
    <w:name w:val="Hyperlink"/>
    <w:basedOn w:val="BodyTextChar"/>
    <w:rPr>
      <w:color w:themeColor="accent1" w:val="4F81BD"/>
    </w:rPr>
  </w:style>
  <w:style w:customStyle="1" w:styleId="KeywordTok" w:type="character">
    <w:name w:val="KeywordTok"/>
    <w:basedOn w:val="VerbatimChar"/>
    <w:qFormat/>
    <w:rPr>
      <w:b/>
      <w:color w:val="007020"/>
    </w:rPr>
  </w:style>
  <w:style w:customStyle="1" w:styleId="DataTypeTok" w:type="character">
    <w:name w:val="DataTypeTok"/>
    <w:basedOn w:val="VerbatimChar"/>
    <w:qFormat/>
    <w:rPr>
      <w:color w:val="902000"/>
    </w:rPr>
  </w:style>
  <w:style w:customStyle="1" w:styleId="DecValTok" w:type="character">
    <w:name w:val="DecValTok"/>
    <w:basedOn w:val="VerbatimChar"/>
    <w:qFormat/>
    <w:rPr>
      <w:color w:val="40A070"/>
    </w:rPr>
  </w:style>
  <w:style w:customStyle="1" w:styleId="BaseNTok" w:type="character">
    <w:name w:val="BaseNTok"/>
    <w:basedOn w:val="VerbatimChar"/>
    <w:qFormat/>
    <w:rPr>
      <w:color w:val="40A070"/>
    </w:rPr>
  </w:style>
  <w:style w:customStyle="1" w:styleId="FloatTok" w:type="character">
    <w:name w:val="FloatTok"/>
    <w:basedOn w:val="VerbatimChar"/>
    <w:qFormat/>
    <w:rPr>
      <w:color w:val="40A070"/>
    </w:rPr>
  </w:style>
  <w:style w:customStyle="1" w:styleId="ConstantTok" w:type="character">
    <w:name w:val="ConstantTok"/>
    <w:basedOn w:val="VerbatimChar"/>
    <w:qFormat/>
    <w:rPr>
      <w:color w:val="880000"/>
    </w:rPr>
  </w:style>
  <w:style w:customStyle="1" w:styleId="CharTok" w:type="character">
    <w:name w:val="CharTok"/>
    <w:basedOn w:val="VerbatimChar"/>
    <w:qFormat/>
    <w:rPr>
      <w:color w:val="4070A0"/>
    </w:rPr>
  </w:style>
  <w:style w:customStyle="1" w:styleId="SpecialCharTok" w:type="character">
    <w:name w:val="SpecialCharTok"/>
    <w:basedOn w:val="VerbatimChar"/>
    <w:qFormat/>
    <w:rPr>
      <w:color w:val="4070A0"/>
    </w:rPr>
  </w:style>
  <w:style w:customStyle="1" w:styleId="StringTok" w:type="character">
    <w:name w:val="StringTok"/>
    <w:basedOn w:val="VerbatimChar"/>
    <w:qFormat/>
    <w:rPr>
      <w:color w:val="4070A0"/>
    </w:rPr>
  </w:style>
  <w:style w:customStyle="1" w:styleId="VerbatimStringTok" w:type="character">
    <w:name w:val="VerbatimStringTok"/>
    <w:basedOn w:val="VerbatimChar"/>
    <w:qFormat/>
    <w:rPr>
      <w:color w:val="4070A0"/>
    </w:rPr>
  </w:style>
  <w:style w:customStyle="1" w:styleId="SpecialStringTok" w:type="character">
    <w:name w:val="SpecialStringTok"/>
    <w:basedOn w:val="VerbatimChar"/>
    <w:qFormat/>
    <w:rPr>
      <w:color w:val="BB6688"/>
    </w:rPr>
  </w:style>
  <w:style w:customStyle="1" w:styleId="ImportTok" w:type="character">
    <w:name w:val="ImportTok"/>
    <w:basedOn w:val="VerbatimChar"/>
    <w:qFormat/>
    <w:rPr>
      <w:b/>
      <w:color w:val="008000"/>
    </w:rPr>
  </w:style>
  <w:style w:customStyle="1" w:styleId="CommentTok" w:type="character">
    <w:name w:val="CommentTok"/>
    <w:basedOn w:val="VerbatimChar"/>
    <w:qFormat/>
    <w:rPr>
      <w:i/>
      <w:color w:val="60A0B0"/>
    </w:rPr>
  </w:style>
  <w:style w:customStyle="1" w:styleId="DocumentationTok" w:type="character">
    <w:name w:val="DocumentationTok"/>
    <w:basedOn w:val="VerbatimChar"/>
    <w:qFormat/>
    <w:rPr>
      <w:i/>
      <w:color w:val="BA2121"/>
    </w:rPr>
  </w:style>
  <w:style w:customStyle="1" w:styleId="AnnotationTok" w:type="character">
    <w:name w:val="AnnotationTok"/>
    <w:basedOn w:val="VerbatimChar"/>
    <w:qFormat/>
    <w:rPr>
      <w:b/>
      <w:i/>
      <w:color w:val="60A0B0"/>
    </w:rPr>
  </w:style>
  <w:style w:customStyle="1" w:styleId="CommentVarTok" w:type="character">
    <w:name w:val="CommentVarTok"/>
    <w:basedOn w:val="VerbatimChar"/>
    <w:qFormat/>
    <w:rPr>
      <w:b/>
      <w:i/>
      <w:color w:val="60A0B0"/>
    </w:rPr>
  </w:style>
  <w:style w:customStyle="1" w:styleId="OtherTok" w:type="character">
    <w:name w:val="OtherTok"/>
    <w:basedOn w:val="VerbatimChar"/>
    <w:qFormat/>
    <w:rPr>
      <w:color w:val="007020"/>
    </w:rPr>
  </w:style>
  <w:style w:customStyle="1" w:styleId="FunctionTok" w:type="character">
    <w:name w:val="FunctionTok"/>
    <w:basedOn w:val="VerbatimChar"/>
    <w:qFormat/>
    <w:rPr>
      <w:color w:val="06287E"/>
    </w:rPr>
  </w:style>
  <w:style w:customStyle="1" w:styleId="VariableTok" w:type="character">
    <w:name w:val="VariableTok"/>
    <w:basedOn w:val="VerbatimChar"/>
    <w:qFormat/>
    <w:rPr>
      <w:color w:val="19177C"/>
    </w:rPr>
  </w:style>
  <w:style w:customStyle="1" w:styleId="ControlFlowTok" w:type="character">
    <w:name w:val="ControlFlowTok"/>
    <w:basedOn w:val="VerbatimChar"/>
    <w:qFormat/>
    <w:rPr>
      <w:b/>
      <w:color w:val="007020"/>
    </w:rPr>
  </w:style>
  <w:style w:customStyle="1" w:styleId="OperatorTok" w:type="character">
    <w:name w:val="OperatorTok"/>
    <w:basedOn w:val="VerbatimChar"/>
    <w:qFormat/>
    <w:rPr>
      <w:color w:val="666666"/>
    </w:rPr>
  </w:style>
  <w:style w:customStyle="1" w:styleId="BuiltInTok" w:type="character">
    <w:name w:val="BuiltInTok"/>
    <w:basedOn w:val="VerbatimChar"/>
    <w:qFormat/>
    <w:rPr>
      <w:color w:val="008000"/>
    </w:rPr>
  </w:style>
  <w:style w:customStyle="1" w:styleId="ExtensionTok" w:type="character">
    <w:name w:val="ExtensionTok"/>
    <w:basedOn w:val="VerbatimChar"/>
    <w:qFormat/>
    <w:rPr/>
  </w:style>
  <w:style w:customStyle="1" w:styleId="PreprocessorTok" w:type="character">
    <w:name w:val="PreprocessorTok"/>
    <w:basedOn w:val="VerbatimChar"/>
    <w:qFormat/>
    <w:rPr>
      <w:color w:val="BC7A00"/>
    </w:rPr>
  </w:style>
  <w:style w:customStyle="1" w:styleId="AttributeTok" w:type="character">
    <w:name w:val="AttributeTok"/>
    <w:basedOn w:val="VerbatimChar"/>
    <w:qFormat/>
    <w:rPr>
      <w:color w:val="7D9029"/>
    </w:rPr>
  </w:style>
  <w:style w:customStyle="1" w:styleId="RegionMarkerTok" w:type="character">
    <w:name w:val="RegionMarkerTok"/>
    <w:basedOn w:val="VerbatimChar"/>
    <w:qFormat/>
    <w:rPr/>
  </w:style>
  <w:style w:customStyle="1" w:styleId="InformationTok" w:type="character">
    <w:name w:val="InformationTok"/>
    <w:basedOn w:val="VerbatimChar"/>
    <w:qFormat/>
    <w:rPr>
      <w:b/>
      <w:i/>
      <w:color w:val="60A0B0"/>
    </w:rPr>
  </w:style>
  <w:style w:customStyle="1" w:styleId="WarningTok" w:type="character">
    <w:name w:val="WarningTok"/>
    <w:basedOn w:val="VerbatimChar"/>
    <w:qFormat/>
    <w:rPr>
      <w:b/>
      <w:i/>
      <w:color w:val="60A0B0"/>
    </w:rPr>
  </w:style>
  <w:style w:customStyle="1" w:styleId="AlertTok" w:type="character">
    <w:name w:val="AlertTok"/>
    <w:basedOn w:val="VerbatimChar"/>
    <w:qFormat/>
    <w:rPr>
      <w:b/>
      <w:color w:val="FF0000"/>
    </w:rPr>
  </w:style>
  <w:style w:customStyle="1" w:styleId="ErrorTok" w:type="character">
    <w:name w:val="ErrorTok"/>
    <w:basedOn w:val="VerbatimChar"/>
    <w:qFormat/>
    <w:rPr>
      <w:b/>
      <w:color w:val="FF0000"/>
    </w:rPr>
  </w:style>
  <w:style w:customStyle="1" w:styleId="NormalTok" w:type="character">
    <w:name w:val="NormalTok"/>
    <w:basedOn w:val="VerbatimChar"/>
    <w:qFormat/>
    <w:rPr/>
  </w:style>
  <w:style w:styleId="Heading" w:type="paragraph">
    <w:name w:val="Heading"/>
    <w:basedOn w:val="Normal"/>
    <w:next w:val="BodyText"/>
    <w:qFormat/>
    <w:pPr>
      <w:keepNext w:val="true"/>
      <w:spacing w:after="120" w:before="240"/>
    </w:pPr>
    <w:rPr>
      <w:rFonts w:ascii="Liberation Sans" w:cs="Noto Sans Devanagari" w:eastAsia="Noto Sans CJK SC" w:hAnsi="Liberation Sans"/>
      <w:sz w:val="28"/>
      <w:szCs w:val="28"/>
    </w:rPr>
  </w:style>
  <w:style w:styleId="BodyText" w:type="paragraph">
    <w:name w:val="Body Text"/>
    <w:basedOn w:val="Normal"/>
    <w:link w:val="BodyTextChar"/>
    <w:qFormat/>
    <w:pPr>
      <w:spacing w:after="180" w:before="180"/>
    </w:pPr>
    <w:rPr/>
  </w:style>
  <w:style w:styleId="List" w:type="paragraph">
    <w:name w:val="List"/>
    <w:basedOn w:val="BodyText"/>
    <w:pPr/>
    <w:rPr>
      <w:rFonts w:cs="Noto Sans Devanagari"/>
    </w:rPr>
  </w:style>
  <w:style w:styleId="Caption" w:type="paragraph">
    <w:name w:val="Caption"/>
    <w:basedOn w:val="Normal"/>
    <w:link w:val="BodyTextChar"/>
    <w:qFormat/>
    <w:pPr>
      <w:spacing w:after="120" w:before="0"/>
    </w:pPr>
    <w:rPr>
      <w:i/>
    </w:rPr>
  </w:style>
  <w:style w:styleId="Index" w:type="paragraph">
    <w:name w:val="Index"/>
    <w:basedOn w:val="Normal"/>
    <w:qFormat/>
    <w:pPr>
      <w:suppressLineNumbers/>
    </w:pPr>
    <w:rPr>
      <w:rFonts w:cs="Noto Sans Devanagari"/>
    </w:rPr>
  </w:style>
  <w:style w:customStyle="1" w:styleId="FirstParagraph" w:type="paragraph">
    <w:name w:val="First Paragraph"/>
    <w:basedOn w:val="BodyText"/>
    <w:next w:val="BodyText"/>
    <w:qFormat/>
    <w:pPr/>
    <w:rPr/>
  </w:style>
  <w:style w:customStyle="1" w:styleId="Compact" w:type="paragraph">
    <w:name w:val="Compact"/>
    <w:basedOn w:val="BodyText"/>
    <w:qFormat/>
    <w:pPr>
      <w:spacing w:after="36" w:before="36"/>
    </w:pPr>
    <w:rPr/>
  </w:style>
  <w:style w:styleId="Title" w:type="paragraph">
    <w:name w:val="Title"/>
    <w:basedOn w:val="Normal"/>
    <w:next w:val="BodyText"/>
    <w:qFormat/>
    <w:pPr>
      <w:keepNext w:val="true"/>
      <w:keepLines/>
      <w:spacing w:after="240" w:before="480"/>
      <w:jc w:val="center"/>
    </w:pPr>
    <w:rPr>
      <w:rFonts w:ascii="Calibri" w:asciiTheme="majorHAnsi" w:cs="" w:cstheme="majorBidi" w:eastAsia="" w:eastAsiaTheme="majorEastAsia" w:hAnsi="Calibri" w:hAnsiTheme="majorHAnsi"/>
      <w:b/>
      <w:bCs/>
      <w:color w:themeColor="accent1" w:themeShade="b5" w:val="345A8A"/>
      <w:sz w:val="36"/>
      <w:szCs w:val="36"/>
    </w:rPr>
  </w:style>
  <w:style w:styleId="Subtitle" w:type="paragraph">
    <w:name w:val="Subtitle"/>
    <w:basedOn w:val="Title"/>
    <w:next w:val="BodyText"/>
    <w:qFormat/>
    <w:pPr>
      <w:keepNext w:val="true"/>
      <w:keepLines/>
      <w:spacing w:after="240" w:before="240"/>
      <w:jc w:val="center"/>
    </w:pPr>
    <w:rPr>
      <w:sz w:val="30"/>
      <w:szCs w:val="30"/>
    </w:rPr>
  </w:style>
  <w:style w:customStyle="1" w:styleId="Author" w:type="paragraph">
    <w:name w:val="Author"/>
    <w:next w:val="BodyText"/>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BodyText"/>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Title" w:type="paragraph">
    <w:name w:val="Abstract Title"/>
    <w:basedOn w:val="Normal"/>
    <w:next w:val="Abstract"/>
    <w:qFormat/>
    <w:pPr>
      <w:keepNext w:val="true"/>
      <w:keepLines/>
      <w:spacing w:after="0" w:before="300"/>
      <w:jc w:val="center"/>
    </w:pPr>
    <w:rPr>
      <w:b/>
      <w:color w:val="345A8A"/>
      <w:sz w:val="20"/>
      <w:szCs w:val="20"/>
    </w:rPr>
  </w:style>
  <w:style w:customStyle="1" w:styleId="Abstract" w:type="paragraph">
    <w:name w:val="Abstract"/>
    <w:basedOn w:val="Normal"/>
    <w:next w:val="BodyText"/>
    <w:qFormat/>
    <w:pPr>
      <w:keepNext w:val="true"/>
      <w:keepLines/>
      <w:spacing w:after="300" w:before="100"/>
    </w:pPr>
    <w:rPr>
      <w:sz w:val="20"/>
      <w:szCs w:val="20"/>
    </w:rPr>
  </w:style>
  <w:style w:styleId="Bibliography" w:type="paragraph">
    <w:name w:val="Bibliography"/>
    <w:basedOn w:val="Normal"/>
    <w:qFormat/>
    <w:pPr/>
    <w:rPr/>
  </w:style>
  <w:style w:styleId="BlockText" w:type="paragraph">
    <w:name w:val="Block Text"/>
    <w:basedOn w:val="BodyText"/>
    <w:next w:val="BodyText"/>
    <w:uiPriority w:val="9"/>
    <w:unhideWhenUsed/>
    <w:qFormat/>
    <w:pPr>
      <w:spacing w:after="100" w:before="100"/>
      <w:ind w:hanging="0" w:left="480" w:right="480"/>
    </w:pPr>
    <w:rPr/>
  </w:style>
  <w:style w:styleId="FootnoteText"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customStyle="1" w:styleId="TableCaption" w:type="paragraph">
    <w:name w:val="Table Caption"/>
    <w:basedOn w:val="Caption"/>
    <w:qFormat/>
    <w:pPr>
      <w:keepNext w:val="true"/>
    </w:pPr>
    <w:rPr/>
  </w:style>
  <w:style w:customStyle="1" w:styleId="ImageCaption" w:type="paragraph">
    <w:name w:val="Image Caption"/>
    <w:basedOn w:val="Caption"/>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IndexHeading" w:type="paragraph">
    <w:name w:val="Index Heading"/>
    <w:basedOn w:val="Heading"/>
    <w:pPr/>
    <w:rPr/>
  </w:style>
  <w:style w:styleId="TOCHeading" w:type="paragraph">
    <w:name w:val="TOC Heading"/>
    <w:basedOn w:val="Heading1"/>
    <w:next w:val="BodyText"/>
    <w:uiPriority w:val="39"/>
    <w:unhideWhenUsed/>
    <w:qFormat/>
    <w:pPr>
      <w:spacing w:after="0" w:before="240" w:line="259" w:lineRule="auto"/>
      <w:outlineLvl w:val="9"/>
    </w:pPr>
    <w:rPr>
      <w:rFonts w:ascii="Calibri" w:asciiTheme="majorHAnsi" w:cs="" w:cstheme="majorBidi" w:eastAsia="" w:eastAsiaTheme="majorEastAsia" w:hAnsi="Calibri" w:hAnsiTheme="majorHAnsi"/>
      <w:b w:val="false"/>
      <w:bCs w:val="false"/>
      <w:color w:themeColor="accent1" w:themeShade="bf" w:val="365F91"/>
    </w:rPr>
  </w:style>
  <w:style w:customStyle="1" w:styleId="SourceCode" w:type="paragraph">
    <w:name w:val="Source Code"/>
    <w:basedOn w:val="Normal"/>
    <w:link w:val="VerbatimChar"/>
    <w:qFormat/>
    <w:pPr/>
    <w:rPr/>
  </w:style>
  <w:style w:default="1" w:styleId="Table" w:type="table">
    <w:name w:val="Table"/>
    <w:basedOn w:val="TableNormal"/>
    <w:semiHidden/>
    <w:unhideWhenUsed/>
    <w:qFormat/>
    <w:tblPr>
      <w:tblCellMar>
        <w:top w:type="dxa" w:w="0"/>
        <w:left w:type="dxa" w:w="108"/>
        <w:bottom w:type="dxa" w:w="0"/>
        <w:right w:type="dxa" w:w="108"/>
      </w:tblCellMar>
    </w:tblPr>
    <w:tblStylePr w:type="firstRow">
      <w:tblPr/>
      <w:tcPr>
        <w:tcBorders>
          <w:bottom w:val="single"/>
        </w:tcBorders>
        <w:vAlign w:val="bottom"/>
      </w:tcPr>
    </w:tblStyle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LibreOffice/24.2.7.2$Linux_X86_64 LibreOffice_project/420$Build-2</Application>
  <AppVersion>15.0000</AppVersion>
  <Pages>3</Pages>
  <Words>746</Words>
  <Characters>4296</Characters>
  <CharactersWithSpaces>5012</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2026-09-25T10:08:11Z</dcterms:created>
  <dcterms:modified xsi:type="dcterms:W3CDTF">2026-09-25T10:08:11Z</dcterms:modified>
</cp:coreProperties>
</file>

<file path=docProps/custom.xml><?xml version="1.0" encoding="utf-8"?>
<Properties xmlns="http://schemas.openxmlformats.org/officeDocument/2006/custom-properties" xmlns:vt="http://schemas.openxmlformats.org/officeDocument/2006/docPropsVTypes"/>
</file>