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2958c25a873955a8fc63889d230f48dc009dbc"/>
    <w:p>
      <w:pPr>
        <w:pStyle w:val="Heading1"/>
      </w:pPr>
      <w:r>
        <w:t xml:space="preserve">Week 4 Assignment — Differential Expression and Feature Selection</w:t>
      </w:r>
    </w:p>
    <w:bookmarkStart w:id="30" w:name="Xac4dfc2fe628ade878b842a5adc4b2abee9572a"/>
    <w:p>
      <w:pPr>
        <w:pStyle w:val="Heading2"/>
      </w:pPr>
      <w:r>
        <w:t xml:space="preserve">Course: AI/ML-Based Biomarker Discovery | Dataset: GSE120584 (serum microarray), GSE46579 (whole-blood small RNA-seq)</w:t>
      </w:r>
    </w:p>
    <w:p>
      <w:pPr>
        <w:pStyle w:val="FirstParagraph"/>
      </w:pPr>
      <w:r>
        <w:rPr>
          <w:bCs/>
          <w:b/>
        </w:rPr>
        <w:t xml:space="preserve">Instructions:</w:t>
      </w:r>
      <w:r>
        <w:t xml:space="preserve"> </w:t>
      </w:r>
      <w:r>
        <w:t xml:space="preserve">Questions marked [C] are conceptual and should be answered from your lecture notes and readings. Questions marked [R] require you to run the corresponding section of</w:t>
      </w:r>
      <w:r>
        <w:t xml:space="preserve"> </w:t>
      </w:r>
      <w:r>
        <w:rPr>
          <w:rStyle w:val="VerbatimChar"/>
        </w:rPr>
        <w:t xml:space="preserve">Week4_DE_FeatureSelection.R</w:t>
      </w:r>
      <w:r>
        <w:t xml:space="preserve"> </w:t>
      </w:r>
      <w:r>
        <w:t xml:space="preserve">in RStudio and report the exact output from your session.</w:t>
      </w:r>
    </w:p>
    <w:p>
      <w:r>
        <w:pict>
          <v:rect style="width:0;height:1.5pt" o:hralign="center" o:hrstd="t" o:hr="t"/>
        </w:pict>
      </w:r>
    </w:p>
    <w:bookmarkStart w:id="20" w:name="question-1-c-log-fold-change-shrinkage"/>
    <w:p>
      <w:pPr>
        <w:pStyle w:val="Heading3"/>
      </w:pPr>
      <w:r>
        <w:t xml:space="preserve">Question 1 [C] — Log-Fold Change Shrinkage</w:t>
      </w:r>
    </w:p>
    <w:p>
      <w:pPr>
        <w:pStyle w:val="FirstParagraph"/>
      </w:pPr>
      <w:r>
        <w:t xml:space="preserve">In Week 4, DESeq2 is used for the RNA-seq dataset (GSE46579) and limma for the microarray dataset (GSE120584). DESeq2’s</w:t>
      </w:r>
      <w:r>
        <w:t xml:space="preserve"> </w:t>
      </w:r>
      <w:r>
        <w:rPr>
          <w:rStyle w:val="VerbatimChar"/>
        </w:rPr>
        <w:t xml:space="preserve">lfcShrink()</w:t>
      </w:r>
      <w:r>
        <w:t xml:space="preserve"> </w:t>
      </w:r>
      <w:r>
        <w:t xml:space="preserve">function applies shrinkage to log₂ fold-change estimates. Explain:</w:t>
      </w:r>
    </w:p>
    <w:p>
      <w:pPr>
        <w:numPr>
          <w:ilvl w:val="0"/>
          <w:numId w:val="1001"/>
        </w:numPr>
        <w:pStyle w:val="Compact"/>
      </w:pPr>
      <w:r>
        <w:t xml:space="preserve">Why shrinkage is necessary for lowly expressed miRNAs in count data</w:t>
      </w:r>
    </w:p>
    <w:p>
      <w:pPr>
        <w:numPr>
          <w:ilvl w:val="0"/>
          <w:numId w:val="1001"/>
        </w:numPr>
        <w:pStyle w:val="Compact"/>
      </w:pPr>
      <w:r>
        <w:t xml:space="preserve">The difference between</w:t>
      </w:r>
      <w:r>
        <w:t xml:space="preserve"> </w:t>
      </w:r>
      <w:r>
        <w:rPr>
          <w:rStyle w:val="VerbatimChar"/>
        </w:rPr>
        <w:t xml:space="preserve">type="apeglm"</w:t>
      </w:r>
      <w:r>
        <w:t xml:space="preserve"> </w:t>
      </w:r>
      <w:r>
        <w:t xml:space="preserve">and</w:t>
      </w:r>
      <w:r>
        <w:t xml:space="preserve"> </w:t>
      </w:r>
      <w:r>
        <w:rPr>
          <w:rStyle w:val="VerbatimChar"/>
        </w:rPr>
        <w:t xml:space="preserve">type="ashr"</w:t>
      </w:r>
    </w:p>
    <w:p>
      <w:pPr>
        <w:numPr>
          <w:ilvl w:val="0"/>
          <w:numId w:val="1001"/>
        </w:numPr>
        <w:pStyle w:val="Compact"/>
      </w:pPr>
      <w:r>
        <w:t xml:space="preserve">Why</w:t>
      </w:r>
      <w:r>
        <w:t xml:space="preserve"> </w:t>
      </w:r>
      <w:r>
        <w:rPr>
          <w:rStyle w:val="VerbatimChar"/>
        </w:rPr>
        <w:t xml:space="preserve">type="apeglm"</w:t>
      </w:r>
      <w:r>
        <w:t xml:space="preserve"> </w:t>
      </w:r>
      <w:r>
        <w:t xml:space="preserve">is suitable for the GSE46579 AD vs Control comparison, and why a comparison such as AD vs MCI in a Control-reference DESeq2 design would require</w:t>
      </w:r>
      <w:r>
        <w:t xml:space="preserve"> </w:t>
      </w:r>
      <w:r>
        <w:rPr>
          <w:rStyle w:val="VerbatimChar"/>
        </w:rPr>
        <w:t xml:space="preserve">type="ashr"</w:t>
      </w:r>
      <w:r>
        <w:t xml:space="preserve"> </w:t>
      </w:r>
      <w:r>
        <w:t xml:space="preserve">instead (include the design formula logic)</w:t>
      </w:r>
    </w:p>
    <w:p>
      <w:pPr>
        <w:numPr>
          <w:ilvl w:val="0"/>
          <w:numId w:val="1001"/>
        </w:numPr>
        <w:pStyle w:val="Compact"/>
      </w:pPr>
      <w:r>
        <w:t xml:space="preserve">Why the limma analysis of GSE120584 has no separate fold-change shrinkage step — what does limma’s</w:t>
      </w:r>
      <w:r>
        <w:t xml:space="preserve"> </w:t>
      </w:r>
      <w:r>
        <w:rPr>
          <w:rStyle w:val="VerbatimChar"/>
        </w:rPr>
        <w:t xml:space="preserve">eBayes()</w:t>
      </w:r>
      <w:r>
        <w:t xml:space="preserve"> </w:t>
      </w:r>
      <w:r>
        <w:t xml:space="preserve">moderate instead?</w:t>
      </w:r>
    </w:p>
    <w:p>
      <w:r>
        <w:pict>
          <v:rect style="width:0;height:1.5pt" o:hralign="center" o:hrstd="t" o:hr="t"/>
        </w:pict>
      </w:r>
    </w:p>
    <w:bookmarkEnd w:id="20"/>
    <w:bookmarkStart w:id="21" w:name="question-2-c-multiple-testing-and-fdr"/>
    <w:p>
      <w:pPr>
        <w:pStyle w:val="Heading3"/>
      </w:pPr>
      <w:r>
        <w:t xml:space="preserve">Question 2 [C] — Multiple Testing and FDR</w:t>
      </w:r>
    </w:p>
    <w:p>
      <w:pPr>
        <w:pStyle w:val="FirstParagraph"/>
      </w:pPr>
      <w:r>
        <w:t xml:space="preserve">The Benjamini-Hochberg (BH) procedure is applied to control the False Discovery Rate at 5% in the Week 4 differential expression analysis.</w:t>
      </w:r>
    </w:p>
    <w:p>
      <w:pPr>
        <w:numPr>
          <w:ilvl w:val="0"/>
          <w:numId w:val="1002"/>
        </w:numPr>
        <w:pStyle w:val="Compact"/>
      </w:pPr>
      <w:r>
        <w:t xml:space="preserve">If you test 1,000 miRNAs and obtain 50 significant results at FDR &lt; 0.05, how many are expected to be false positives?</w:t>
      </w:r>
    </w:p>
    <w:p>
      <w:pPr>
        <w:numPr>
          <w:ilvl w:val="0"/>
          <w:numId w:val="1002"/>
        </w:numPr>
        <w:pStyle w:val="Compact"/>
      </w:pPr>
      <w:r>
        <w:t xml:space="preserve">If the raw p-value threshold of 0.05 were used without correction across 1,000 tests, how many false positives would you expect by chance?</w:t>
      </w:r>
    </w:p>
    <w:p>
      <w:pPr>
        <w:numPr>
          <w:ilvl w:val="0"/>
          <w:numId w:val="1002"/>
        </w:numPr>
        <w:pStyle w:val="Compact"/>
      </w:pPr>
      <w:r>
        <w:t xml:space="preserve">Explain intuitively why the BH procedure is preferred over the Bonferroni correction for miRNA expression studies.</w:t>
      </w:r>
    </w:p>
    <w:p>
      <w:r>
        <w:pict>
          <v:rect style="width:0;height:1.5pt" o:hralign="center" o:hrstd="t" o:hr="t"/>
        </w:pict>
      </w:r>
    </w:p>
    <w:bookmarkEnd w:id="21"/>
    <w:bookmarkStart w:id="22" w:name="Xe39b53c6bc178c157060e3f1c627547b2b25339"/>
    <w:p>
      <w:pPr>
        <w:pStyle w:val="Heading3"/>
      </w:pPr>
      <w:r>
        <w:t xml:space="preserve">Question 3 [C] — Feature Selection Strategy Comparison</w:t>
      </w:r>
    </w:p>
    <w:p>
      <w:pPr>
        <w:pStyle w:val="FirstParagraph"/>
      </w:pPr>
      <w:r>
        <w:t xml:space="preserve">Construct a comparison table of three feature selection strategies: (a) filter methods (e.g., Mann-Whitney U test), (b) wrapper methods (e.g., recursive feature elimination), and (c) embedded methods (e.g., LASSO). For each strategy, describe the selection mechanism, computational cost, risk of overfitting, and one advantage specific to miRNA biomarker discovery.</w:t>
      </w:r>
    </w:p>
    <w:p>
      <w:r>
        <w:pict>
          <v:rect style="width:0;height:1.5pt" o:hralign="center" o:hrstd="t" o:hr="t"/>
        </w:pict>
      </w:r>
    </w:p>
    <w:bookmarkEnd w:id="22"/>
    <w:bookmarkStart w:id="23" w:name="X9aa601dd8f4b018ba342f9a5a87847e5e4ccd1c"/>
    <w:p>
      <w:pPr>
        <w:pStyle w:val="Heading3"/>
      </w:pPr>
      <w:r>
        <w:t xml:space="preserve">Question 4 [C] — Clinical Prevalence and Predictive Values</w:t>
      </w:r>
    </w:p>
    <w:p>
      <w:pPr>
        <w:pStyle w:val="FirstParagraph"/>
      </w:pPr>
      <w:r>
        <w:t xml:space="preserve">A classifier for Alzheimer’s disease achieves sensitivity = 85% and specificity = 80% on a balanced research cohort (50% AD prevalence). Calculate the Positive Predictive Value (PPV) and Negative Predictive Value (NPV) at (a) 50% prevalence (research setting) and (b) 5% prevalence (general population memory clinic). Discuss the clinical implications of the difference for a physician considering ordering this test.</w:t>
      </w:r>
    </w:p>
    <w:p>
      <w:r>
        <w:pict>
          <v:rect style="width:0;height:1.5pt" o:hralign="center" o:hrstd="t" o:hr="t"/>
        </w:pict>
      </w:r>
    </w:p>
    <w:bookmarkEnd w:id="23"/>
    <w:bookmarkStart w:id="24" w:name="question-5-c-random-forest-mechanism"/>
    <w:p>
      <w:pPr>
        <w:pStyle w:val="Heading3"/>
      </w:pPr>
      <w:r>
        <w:t xml:space="preserve">Question 5 [C] — Random Forest Mechanism</w:t>
      </w:r>
    </w:p>
    <w:p>
      <w:pPr>
        <w:pStyle w:val="FirstParagraph"/>
      </w:pPr>
      <w:r>
        <w:t xml:space="preserve">Explain how Random Forest reduces the overfitting problem of a single decision tree through the mechanisms of bagging and feature subsampling. Specifically, describe (a) what bootstrap aggregation (bagging) achieves statistically, (b) why</w:t>
      </w:r>
      <w:r>
        <w:t xml:space="preserve"> </w:t>
      </w:r>
      <w:r>
        <w:rPr>
          <w:rStyle w:val="VerbatimChar"/>
        </w:rPr>
        <w:t xml:space="preserve">mtry = sqrt(p)</w:t>
      </w:r>
      <w:r>
        <w:t xml:space="preserve"> </w:t>
      </w:r>
      <w:r>
        <w:t xml:space="preserve">is the default for classification tasks, and (c) what the out-of-bag (OOB) error estimate measures and why it is useful when no separate validation set is available.</w:t>
      </w:r>
    </w:p>
    <w:p>
      <w:r>
        <w:pict>
          <v:rect style="width:0;height:1.5pt" o:hralign="center" o:hrstd="t" o:hr="t"/>
        </w:pict>
      </w:r>
    </w:p>
    <w:bookmarkEnd w:id="24"/>
    <w:bookmarkStart w:id="25" w:name="Xbfc82db6b26c27f5127a7695167fb77985e98a8"/>
    <w:p>
      <w:pPr>
        <w:pStyle w:val="Heading3"/>
      </w:pPr>
      <w:r>
        <w:t xml:space="preserve">Question 6 [R] — limma AD vs Control (GSE120584)</w:t>
      </w:r>
    </w:p>
    <w:p>
      <w:pPr>
        <w:pStyle w:val="FirstParagraph"/>
      </w:pPr>
      <w:r>
        <w:t xml:space="preserve">Run the limma analysis for GSE120584 (Sections 2–4 of</w:t>
      </w:r>
      <w:r>
        <w:t xml:space="preserve"> </w:t>
      </w:r>
      <w:r>
        <w:rPr>
          <w:rStyle w:val="VerbatimChar"/>
        </w:rPr>
        <w:t xml:space="preserve">Week4_DE_FeatureSelection.R</w:t>
      </w:r>
      <w:r>
        <w:t xml:space="preserve">). The script uses the design</w:t>
      </w:r>
      <w:r>
        <w:t xml:space="preserve"> </w:t>
      </w:r>
      <w:r>
        <w:rPr>
          <w:rStyle w:val="VerbatimChar"/>
        </w:rPr>
        <w:t xml:space="preserve">~ 0 + group + sex + age</w:t>
      </w:r>
      <w:r>
        <w:t xml:space="preserve"> </w:t>
      </w:r>
      <w:r>
        <w:t xml:space="preserve">and calls a miRNA significant at FDR &lt; 0.05 and |log₂FC| &gt; 0.3. Report for AD vs Control:</w:t>
      </w:r>
    </w:p>
    <w:p>
      <w:pPr>
        <w:numPr>
          <w:ilvl w:val="0"/>
          <w:numId w:val="1003"/>
        </w:numPr>
        <w:pStyle w:val="Compact"/>
      </w:pPr>
      <w:r>
        <w:t xml:space="preserve">The total number of miRNAs tested</w:t>
      </w:r>
    </w:p>
    <w:p>
      <w:pPr>
        <w:numPr>
          <w:ilvl w:val="0"/>
          <w:numId w:val="1003"/>
        </w:numPr>
        <w:pStyle w:val="Compact"/>
      </w:pPr>
      <w:r>
        <w:t xml:space="preserve">The number of miRNAs significant at FDR &lt; 0.05 and |log₂FC| &gt; 0.3</w:t>
      </w:r>
    </w:p>
    <w:p>
      <w:pPr>
        <w:numPr>
          <w:ilvl w:val="0"/>
          <w:numId w:val="1003"/>
        </w:numPr>
        <w:pStyle w:val="Compact"/>
      </w:pPr>
      <w:r>
        <w:t xml:space="preserve">The number of significant miRNAs upregulated in AD and downregulated in AD</w:t>
      </w:r>
    </w:p>
    <w:p>
      <w:pPr>
        <w:numPr>
          <w:ilvl w:val="0"/>
          <w:numId w:val="1003"/>
        </w:numPr>
        <w:pStyle w:val="Compact"/>
      </w:pPr>
      <w:r>
        <w:t xml:space="preserve">The name of the top-ranked miRNA by adjusted p-value and its log₂FC</w:t>
      </w:r>
    </w:p>
    <w:p>
      <w:pPr>
        <w:pStyle w:val="FirstParagraph"/>
      </w:pPr>
      <w:r>
        <w:t xml:space="preserve">Convert the log₂FC of the top miRNA to a linear fold-change and state whether it is up- or down-regulated in AD. Then count how many miRNAs pass FDR &lt; 0.05 alone, and explain why the script uses a fold-change cut-off of 0.3 for this microarray dataset rather than the 0.5 or 1 commonly used for RNA-seq.</w:t>
      </w:r>
    </w:p>
    <w:p>
      <w:r>
        <w:pict>
          <v:rect style="width:0;height:1.5pt" o:hralign="center" o:hrstd="t" o:hr="t"/>
        </w:pict>
      </w:r>
    </w:p>
    <w:bookmarkEnd w:id="25"/>
    <w:bookmarkStart w:id="26" w:name="question-7-r-progressive-comparisons"/>
    <w:p>
      <w:pPr>
        <w:pStyle w:val="Heading3"/>
      </w:pPr>
      <w:r>
        <w:t xml:space="preserve">Question 7 [R] — Progressive Comparisons</w:t>
      </w:r>
    </w:p>
    <w:p>
      <w:pPr>
        <w:pStyle w:val="FirstParagraph"/>
      </w:pPr>
      <w:r>
        <w:t xml:space="preserve">Run the MCI vs Control and AD vs MCI comparisons for GSE120584. Report the number of significant miRNAs (FDR &lt; 0.05, |log₂FC| &gt; 0.3) for each comparison. Then identify:</w:t>
      </w:r>
    </w:p>
    <w:p>
      <w:pPr>
        <w:numPr>
          <w:ilvl w:val="0"/>
          <w:numId w:val="1004"/>
        </w:numPr>
        <w:pStyle w:val="Compact"/>
      </w:pPr>
      <w:r>
        <w:t xml:space="preserve">miRNAs that are significant in both AD vs Control AND MCI vs Control (early-changing markers)</w:t>
      </w:r>
    </w:p>
    <w:p>
      <w:pPr>
        <w:numPr>
          <w:ilvl w:val="0"/>
          <w:numId w:val="1004"/>
        </w:numPr>
        <w:pStyle w:val="Compact"/>
      </w:pPr>
      <w:r>
        <w:t xml:space="preserve">miRNAs that are significant only in AD vs Control but not in MCI vs Control (late-changing markers)</w:t>
      </w:r>
    </w:p>
    <w:p>
      <w:pPr>
        <w:pStyle w:val="FirstParagraph"/>
      </w:pPr>
      <w:r>
        <w:t xml:space="preserve">List up to three miRNAs in each category and state their direction of change. For your</w:t>
      </w:r>
      <w:r>
        <w:t xml:space="preserve"> </w:t>
      </w:r>
      <w:r>
        <w:t xml:space="preserve">“</w:t>
      </w:r>
      <w:r>
        <w:t xml:space="preserve">late</w:t>
      </w:r>
      <w:r>
        <w:t xml:space="preserve">”</w:t>
      </w:r>
      <w:r>
        <w:t xml:space="preserve"> </w:t>
      </w:r>
      <w:r>
        <w:t xml:space="preserve">markers, look up their MCI vs Control adjusted p-values: given that the cohort has only 32 MCI samples, how confident can you be that they truly do not change in MCI?</w:t>
      </w:r>
    </w:p>
    <w:p>
      <w:r>
        <w:pict>
          <v:rect style="width:0;height:1.5pt" o:hralign="center" o:hrstd="t" o:hr="t"/>
        </w:pict>
      </w:r>
    </w:p>
    <w:bookmarkEnd w:id="26"/>
    <w:bookmarkStart w:id="27" w:name="X14f7c3edb37ba2df89bc2f7f4a8f2f214073b5b"/>
    <w:p>
      <w:pPr>
        <w:pStyle w:val="Heading3"/>
      </w:pPr>
      <w:r>
        <w:t xml:space="preserve">Question 8 [R] — DESeq2 Cross-Platform Replication (GSE46579)</w:t>
      </w:r>
    </w:p>
    <w:p>
      <w:pPr>
        <w:pStyle w:val="FirstParagraph"/>
      </w:pPr>
      <w:r>
        <w:t xml:space="preserve">Run the DESeq2 analysis of the GSE46579 RNA-seq dataset (Section 6) and the cross-dataset overlap (Section 7). Report:</w:t>
      </w:r>
    </w:p>
    <w:p>
      <w:pPr>
        <w:numPr>
          <w:ilvl w:val="0"/>
          <w:numId w:val="1005"/>
        </w:numPr>
        <w:pStyle w:val="Compact"/>
      </w:pPr>
      <w:r>
        <w:t xml:space="preserve">The number of miRNAs significant at FDR &lt; 0.05 and |log₂FC| &gt; 0.5 in the DESeq2 analysis, and how many are up- and downregulated in AD</w:t>
      </w:r>
    </w:p>
    <w:p>
      <w:pPr>
        <w:numPr>
          <w:ilvl w:val="0"/>
          <w:numId w:val="1005"/>
        </w:numPr>
        <w:pStyle w:val="Compact"/>
      </w:pPr>
      <w:r>
        <w:t xml:space="preserve">The number of miRNA names tested in both datasets, and the number of miRNAs that are significant in both the limma (GSE120584) and DESeq2 (GSE46579) lists</w:t>
      </w:r>
    </w:p>
    <w:p>
      <w:pPr>
        <w:numPr>
          <w:ilvl w:val="0"/>
          <w:numId w:val="1005"/>
        </w:numPr>
        <w:pStyle w:val="Compact"/>
      </w:pPr>
      <w:r>
        <w:t xml:space="preserve">For the overlapping miRNAs, what fraction show concordant direction of change (same up/down in both datasets)?</w:t>
      </w:r>
    </w:p>
    <w:p>
      <w:pPr>
        <w:pStyle w:val="FirstParagraph"/>
      </w:pPr>
      <w:r>
        <w:t xml:space="preserve">A low overlap or low concordance rate would suggest what potential problems with one or both analyses? Consider both technical and biological explanations.</w:t>
      </w:r>
    </w:p>
    <w:p>
      <w:r>
        <w:pict>
          <v:rect style="width:0;height:1.5pt" o:hralign="center" o:hrstd="t" o:hr="t"/>
        </w:pict>
      </w:r>
    </w:p>
    <w:bookmarkEnd w:id="27"/>
    <w:bookmarkStart w:id="28" w:name="question-9-r-consensus-feature-table"/>
    <w:p>
      <w:pPr>
        <w:pStyle w:val="Heading3"/>
      </w:pPr>
      <w:r>
        <w:t xml:space="preserve">Question 9 [R] — Consensus Feature Table</w:t>
      </w:r>
    </w:p>
    <w:p>
      <w:pPr>
        <w:pStyle w:val="FirstParagraph"/>
      </w:pPr>
      <w:r>
        <w:t xml:space="preserve">The script builds a consensus feature table from the top 50 miRNAs ranked by limma (GSE120584, AD vs Control) and the top 50 ranked by the Mann-Whitney U filter, and flags any miRNA that is also significant in both datasets (Section 7). Report:</w:t>
      </w:r>
    </w:p>
    <w:p>
      <w:pPr>
        <w:numPr>
          <w:ilvl w:val="0"/>
          <w:numId w:val="1006"/>
        </w:numPr>
        <w:pStyle w:val="Compact"/>
      </w:pPr>
      <w:r>
        <w:t xml:space="preserve">The number of miRNAs that appear in the top 50 of both limma and Mann-Whitney U</w:t>
      </w:r>
    </w:p>
    <w:p>
      <w:pPr>
        <w:numPr>
          <w:ilvl w:val="0"/>
          <w:numId w:val="1006"/>
        </w:numPr>
        <w:pStyle w:val="Compact"/>
      </w:pPr>
      <w:r>
        <w:t xml:space="preserve">For the top five consensus miRNAs, their log₂FC and adjusted p-value from limma (</w:t>
      </w:r>
      <w:r>
        <w:rPr>
          <w:rStyle w:val="VerbatimChar"/>
        </w:rPr>
        <w:t xml:space="preserve">consensus_features_Week4.csv</w:t>
      </w:r>
      <w:r>
        <w:t xml:space="preserve">) and their limma t-statistic (</w:t>
      </w:r>
      <w:r>
        <w:rPr>
          <w:rStyle w:val="VerbatimChar"/>
        </w:rPr>
        <w:t xml:space="preserve">de_results_limma_AD_vs_Control.csv</w:t>
      </w:r>
      <w:r>
        <w:t xml:space="preserve">)</w:t>
      </w:r>
    </w:p>
    <w:p>
      <w:pPr>
        <w:numPr>
          <w:ilvl w:val="0"/>
          <w:numId w:val="1006"/>
        </w:numPr>
        <w:pStyle w:val="Compact"/>
      </w:pPr>
      <w:r>
        <w:t xml:space="preserve">Whether the one miRNA significant in both datasets (Question 8) made it into the consensus table</w:t>
      </w:r>
    </w:p>
    <w:p>
      <w:pPr>
        <w:numPr>
          <w:ilvl w:val="0"/>
          <w:numId w:val="1006"/>
        </w:numPr>
        <w:pStyle w:val="Compact"/>
      </w:pPr>
      <w:r>
        <w:t xml:space="preserve">Retrieve the miRBase annotation for the top consensus miRNA and describe what is known about its function. What does the amount of available annotation tell you?</w:t>
      </w:r>
    </w:p>
    <w:p>
      <w:r>
        <w:pict>
          <v:rect style="width:0;height:1.5pt" o:hralign="center" o:hrstd="t" o:hr="t"/>
        </w:pict>
      </w:r>
    </w:p>
    <w:bookmarkEnd w:id="28"/>
    <w:bookmarkStart w:id="29" w:name="Xe0bfb3b58ee38076c7f2eb921670853ac90adc0"/>
    <w:p>
      <w:pPr>
        <w:pStyle w:val="Heading3"/>
      </w:pPr>
      <w:r>
        <w:t xml:space="preserve">Question 10 [R] — Volcano Plot Interpretation</w:t>
      </w:r>
    </w:p>
    <w:p>
      <w:pPr>
        <w:pStyle w:val="FirstParagraph"/>
      </w:pPr>
      <w:r>
        <w:t xml:space="preserve">Inspect the volcano plot generated for the AD vs Control comparison in GSE120584 (</w:t>
      </w:r>
      <w:r>
        <w:rPr>
          <w:rStyle w:val="VerbatimChar"/>
        </w:rPr>
        <w:t xml:space="preserve">results/volcano_limma_AD_vs_Control.png</w:t>
      </w:r>
      <w:r>
        <w:t xml:space="preserve">). Report:</w:t>
      </w:r>
    </w:p>
    <w:p>
      <w:pPr>
        <w:numPr>
          <w:ilvl w:val="0"/>
          <w:numId w:val="1007"/>
        </w:numPr>
        <w:pStyle w:val="Compact"/>
      </w:pPr>
      <w:r>
        <w:t xml:space="preserve">The names of the labelled miRNAs in the plot</w:t>
      </w:r>
    </w:p>
    <w:p>
      <w:pPr>
        <w:numPr>
          <w:ilvl w:val="0"/>
          <w:numId w:val="1007"/>
        </w:numPr>
        <w:pStyle w:val="Compact"/>
      </w:pPr>
      <w:r>
        <w:t xml:space="preserve">How many of these labelled miRNAs were mentioned in the Week 1 lecture’s known AD-associated miRNA table</w:t>
      </w:r>
    </w:p>
    <w:p>
      <w:pPr>
        <w:numPr>
          <w:ilvl w:val="0"/>
          <w:numId w:val="1007"/>
        </w:numPr>
        <w:pStyle w:val="Compact"/>
      </w:pPr>
      <w:r>
        <w:t xml:space="preserve">Identify at least one miRNA in the significant region of the plot that was NOT highlighted in Week 1 — this is a potential novel candidate</w:t>
      </w:r>
    </w:p>
    <w:p>
      <w:pPr>
        <w:pStyle w:val="FirstParagraph"/>
      </w:pPr>
      <w:r>
        <w:t xml:space="preserve">Check whether every labelled miRNA meets both significance criteria (|log₂FC| &gt; 0.3 AND adjusted p-value &lt; 0.05). How are the labelled miRNAs chosen, and why can a labelled point be grey? Finally, describe the overall shape of the volcano plot: are the significant miRNAs balanced between up and down in AD?</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2026-09-25T10:08:11Z</dcterms:created>
  <dcterms:modified xsi:type="dcterms:W3CDTF">2026-09-25T10:08:11Z</dcterms:modified>
</cp:coreProperties>
</file>

<file path=docProps/custom.xml><?xml version="1.0" encoding="utf-8"?>
<Properties xmlns="http://schemas.openxmlformats.org/officeDocument/2006/custom-properties" xmlns:vt="http://schemas.openxmlformats.org/officeDocument/2006/docPropsVTypes"/>
</file>