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7f3d36dc8fe7ac9ff230e443cff7cf090312e0"/>
    <w:p>
      <w:pPr>
        <w:pStyle w:val="Heading1"/>
      </w:pPr>
      <w:r>
        <w:t xml:space="preserve">Week 6 Assignment — Biological Interpretation and Translation</w:t>
      </w:r>
    </w:p>
    <w:bookmarkStart w:id="30" w:name="Xac4dfc2fe628ade878b842a5adc4b2abee9572a"/>
    <w:p>
      <w:pPr>
        <w:pStyle w:val="Heading2"/>
      </w:pPr>
      <w:r>
        <w:t xml:space="preserve">Course: AI/ML-Based Biomarker Discovery | Dataset: GSE120584 (serum microarray), GSE46579 (whole-blood small RNA-seq)</w:t>
      </w:r>
    </w:p>
    <w:p>
      <w:pPr>
        <w:pStyle w:val="FirstParagraph"/>
      </w:pPr>
      <w:r>
        <w:rPr>
          <w:bCs/>
          <w:b/>
        </w:rPr>
        <w:t xml:space="preserve">Instructions:</w:t>
      </w:r>
      <w:r>
        <w:t xml:space="preserve"> </w:t>
      </w:r>
      <w:r>
        <w:t xml:space="preserve">Questions marked [C] are conceptual and should be answered from your lecture notes and readings. Questions marked [R] require you to run the corresponding section of</w:t>
      </w:r>
      <w:r>
        <w:t xml:space="preserve"> </w:t>
      </w:r>
      <w:r>
        <w:rPr>
          <w:rStyle w:val="VerbatimChar"/>
        </w:rPr>
        <w:t xml:space="preserve">Week6_Interpretation.R</w:t>
      </w:r>
      <w:r>
        <w:t xml:space="preserve"> </w:t>
      </w:r>
      <w:r>
        <w:t xml:space="preserve">in RStudio and report the exact output from your session.</w:t>
      </w:r>
    </w:p>
    <w:p>
      <w:r>
        <w:pict>
          <v:rect style="width:0;height:1.5pt" o:hralign="center" o:hrstd="t" o:hr="t"/>
        </w:pict>
      </w:r>
    </w:p>
    <w:bookmarkStart w:id="20" w:name="Xad6cff56cd452f150a2c3c1c2db53369409eddf"/>
    <w:p>
      <w:pPr>
        <w:pStyle w:val="Heading3"/>
      </w:pPr>
      <w:r>
        <w:t xml:space="preserve">Question 1 [C] — Statistical vs Mechanistic Biomarker</w:t>
      </w:r>
    </w:p>
    <w:p>
      <w:pPr>
        <w:pStyle w:val="FirstParagraph"/>
      </w:pPr>
      <w:r>
        <w:t xml:space="preserve">Distinguish between a statistical biomarker (one that correlates with disease) and a mechanistic biomarker (one that participates in disease pathogenesis). Using the three-tier evidence pyramid from the lecture, describe what evidence is required to elevate a miRNA from Tier 3 (statistical association) to Tier 1 (mechanistic evidence in human tissue). Provide one example from the AD miRNA literature that has reached Tier 2 evidence and describe the experimental data supporting it.</w:t>
      </w:r>
    </w:p>
    <w:p>
      <w:r>
        <w:pict>
          <v:rect style="width:0;height:1.5pt" o:hralign="center" o:hrstd="t" o:hr="t"/>
        </w:pict>
      </w:r>
    </w:p>
    <w:bookmarkEnd w:id="20"/>
    <w:bookmarkStart w:id="21" w:name="X0c428e9c606cdcae198a0981cbb64ef8c486735"/>
    <w:p>
      <w:pPr>
        <w:pStyle w:val="Heading3"/>
      </w:pPr>
      <w:r>
        <w:t xml:space="preserve">Question 2 [C] — Over-Representation Analysis</w:t>
      </w:r>
    </w:p>
    <w:p>
      <w:pPr>
        <w:pStyle w:val="FirstParagraph"/>
      </w:pPr>
      <w:r>
        <w:t xml:space="preserve">Over-representation analysis (ORA) uses Fisher’s exact test to determine whether a set of DE miRNA targets is enriched in a pathway.</w:t>
      </w:r>
    </w:p>
    <w:p>
      <w:pPr>
        <w:numPr>
          <w:ilvl w:val="0"/>
          <w:numId w:val="1001"/>
        </w:numPr>
        <w:pStyle w:val="Compact"/>
      </w:pPr>
      <w:r>
        <w:t xml:space="preserve">Write the 2×2 contingency table used in the test, labeling all four cells.</w:t>
      </w:r>
    </w:p>
    <w:p>
      <w:pPr>
        <w:numPr>
          <w:ilvl w:val="0"/>
          <w:numId w:val="1001"/>
        </w:numPr>
        <w:pStyle w:val="Compact"/>
      </w:pPr>
      <w:r>
        <w:t xml:space="preserve">Explain why the choice of background gene set is critical — what happens if you use all human genes as background instead of only genes expressed in the tissue of interest?</w:t>
      </w:r>
    </w:p>
    <w:p>
      <w:pPr>
        <w:numPr>
          <w:ilvl w:val="0"/>
          <w:numId w:val="1001"/>
        </w:numPr>
        <w:pStyle w:val="Compact"/>
      </w:pPr>
      <w:r>
        <w:t xml:space="preserve">Why is ORA considered less powerful than Gene Set Enrichment Analysis (GSEA), and under what circumstance is ORA the more appropriate choice?</w:t>
      </w:r>
    </w:p>
    <w:p>
      <w:r>
        <w:pict>
          <v:rect style="width:0;height:1.5pt" o:hralign="center" o:hrstd="t" o:hr="t"/>
        </w:pict>
      </w:r>
    </w:p>
    <w:bookmarkEnd w:id="21"/>
    <w:bookmarkStart w:id="22" w:name="X1731d61a011b1f1b57c2a1b4d5a2009200ecc53"/>
    <w:p>
      <w:pPr>
        <w:pStyle w:val="Heading3"/>
      </w:pPr>
      <w:r>
        <w:t xml:space="preserve">Question 3 [C] — Biomarker Development Roadmap</w:t>
      </w:r>
    </w:p>
    <w:p>
      <w:pPr>
        <w:pStyle w:val="FirstParagraph"/>
      </w:pPr>
      <w:r>
        <w:t xml:space="preserve">The FDA/NCI Biomarker Working Group defines a 5-stage roadmap for biomarker development. List all five stages and briefly describe the primary objective of each. Based on the work completed in this course (Weeks 1–6), identify which stage you have completed and articulate exactly what experimental and clinical work would be required to advance to Stage 3.</w:t>
      </w:r>
    </w:p>
    <w:p>
      <w:r>
        <w:pict>
          <v:rect style="width:0;height:1.5pt" o:hralign="center" o:hrstd="t" o:hr="t"/>
        </w:pict>
      </w:r>
    </w:p>
    <w:bookmarkEnd w:id="22"/>
    <w:bookmarkStart w:id="23" w:name="X174d60295b8c008467ef97d906c510aa768fe34"/>
    <w:p>
      <w:pPr>
        <w:pStyle w:val="Heading3"/>
      </w:pPr>
      <w:r>
        <w:t xml:space="preserve">Question 4 [C] — Ethics of Pre-Symptomatic Disclosure</w:t>
      </w:r>
    </w:p>
    <w:p>
      <w:pPr>
        <w:pStyle w:val="FirstParagraph"/>
      </w:pPr>
      <w:r>
        <w:t xml:space="preserve">A research participant in your miRNA biomarker study is identified as having a high-risk composite score that predicts AD onset within 5 years. There is no approved disease-modifying therapy available.</w:t>
      </w:r>
    </w:p>
    <w:p>
      <w:pPr>
        <w:numPr>
          <w:ilvl w:val="0"/>
          <w:numId w:val="1002"/>
        </w:numPr>
        <w:pStyle w:val="Compact"/>
      </w:pPr>
      <w:r>
        <w:t xml:space="preserve">Identify the specific ethical tension between the principles of autonomy and beneficence in this scenario.</w:t>
      </w:r>
    </w:p>
    <w:p>
      <w:pPr>
        <w:numPr>
          <w:ilvl w:val="0"/>
          <w:numId w:val="1002"/>
        </w:numPr>
        <w:pStyle w:val="Compact"/>
      </w:pPr>
      <w:r>
        <w:t xml:space="preserve">Describe the current standard of practice for disclosing incidental findings in research settings (as opposed to clinical settings).</w:t>
      </w:r>
    </w:p>
    <w:p>
      <w:pPr>
        <w:numPr>
          <w:ilvl w:val="0"/>
          <w:numId w:val="1002"/>
        </w:numPr>
        <w:pStyle w:val="Compact"/>
      </w:pPr>
      <w:r>
        <w:t xml:space="preserve">Under GDPR, what rights does the participant have regarding their genetic and health-related data?</w:t>
      </w:r>
    </w:p>
    <w:p>
      <w:r>
        <w:pict>
          <v:rect style="width:0;height:1.5pt" o:hralign="center" o:hrstd="t" o:hr="t"/>
        </w:pict>
      </w:r>
    </w:p>
    <w:bookmarkEnd w:id="23"/>
    <w:bookmarkStart w:id="24" w:name="X03a4d568d2aaf959e7a24840138abaa42a8881b"/>
    <w:p>
      <w:pPr>
        <w:pStyle w:val="Heading3"/>
      </w:pPr>
      <w:r>
        <w:t xml:space="preserve">Question 5 [C] — Analytical Validation Parameters</w:t>
      </w:r>
    </w:p>
    <w:p>
      <w:pPr>
        <w:pStyle w:val="FirstParagraph"/>
      </w:pPr>
      <w:r>
        <w:t xml:space="preserve">Before a miRNA biomarker can enter clinical use, it must undergo analytical validation. Define the following parameters and provide a numerical example or acceptance criterion for each:</w:t>
      </w:r>
    </w:p>
    <w:p>
      <w:pPr>
        <w:numPr>
          <w:ilvl w:val="0"/>
          <w:numId w:val="1003"/>
        </w:numPr>
        <w:pStyle w:val="Compact"/>
      </w:pPr>
      <w:r>
        <w:t xml:space="preserve">Within-run coefficient of variation (CV) — formula and acceptable threshold for clinical assays</w:t>
      </w:r>
    </w:p>
    <w:p>
      <w:pPr>
        <w:numPr>
          <w:ilvl w:val="0"/>
          <w:numId w:val="1003"/>
        </w:numPr>
        <w:pStyle w:val="Compact"/>
      </w:pPr>
      <w:r>
        <w:t xml:space="preserve">Limit of Detection (LOD) vs Limit of Quantification (LOQ) — conceptual difference and why LOQ is the relevant threshold for biomarker assays</w:t>
      </w:r>
    </w:p>
    <w:p>
      <w:pPr>
        <w:numPr>
          <w:ilvl w:val="0"/>
          <w:numId w:val="1003"/>
        </w:numPr>
        <w:pStyle w:val="Compact"/>
      </w:pPr>
      <w:r>
        <w:t xml:space="preserve">If a miRNA shows strong differential expression in discovery data (a microarray such as GSE120584, or RNA-seq) but fails to validate by qPCR, list three technical explanations for the discrepancy</w:t>
      </w:r>
    </w:p>
    <w:p>
      <w:r>
        <w:pict>
          <v:rect style="width:0;height:1.5pt" o:hralign="center" o:hrstd="t" o:hr="t"/>
        </w:pict>
      </w:r>
    </w:p>
    <w:bookmarkEnd w:id="24"/>
    <w:bookmarkStart w:id="25" w:name="question-6-r-composite-ranking"/>
    <w:p>
      <w:pPr>
        <w:pStyle w:val="Heading3"/>
      </w:pPr>
      <w:r>
        <w:t xml:space="preserve">Question 6 [R] — Composite Ranking</w:t>
      </w:r>
    </w:p>
    <w:p>
      <w:pPr>
        <w:pStyle w:val="FirstParagraph"/>
      </w:pPr>
      <w:r>
        <w:t xml:space="preserve">Run the composite ranking section of</w:t>
      </w:r>
      <w:r>
        <w:t xml:space="preserve"> </w:t>
      </w:r>
      <w:r>
        <w:rPr>
          <w:rStyle w:val="VerbatimChar"/>
        </w:rPr>
        <w:t xml:space="preserve">Week6_Interpretation.R</w:t>
      </w:r>
      <w:r>
        <w:t xml:space="preserve">, which averages the SHAP importance rank from Week 5 with the limma adjusted p-value rank from Week 4 (GSE120584 AD vs Control,</w:t>
      </w:r>
      <w:r>
        <w:t xml:space="preserve"> </w:t>
      </w:r>
      <w:r>
        <w:rPr>
          <w:rStyle w:val="VerbatimChar"/>
        </w:rPr>
        <w:t xml:space="preserve">results/Week4/DE_results_GSE120584.csv</w:t>
      </w:r>
      <w:r>
        <w:t xml:space="preserve">). Report:</w:t>
      </w:r>
    </w:p>
    <w:p>
      <w:pPr>
        <w:numPr>
          <w:ilvl w:val="0"/>
          <w:numId w:val="1004"/>
        </w:numPr>
        <w:pStyle w:val="Compact"/>
      </w:pPr>
      <w:r>
        <w:t xml:space="preserve">The top 10 miRNAs by composite rank</w:t>
      </w:r>
    </w:p>
    <w:p>
      <w:pPr>
        <w:numPr>
          <w:ilvl w:val="0"/>
          <w:numId w:val="1004"/>
        </w:numPr>
        <w:pStyle w:val="Compact"/>
      </w:pPr>
      <w:r>
        <w:t xml:space="preserve">The composite rank score for the #1 miRNA</w:t>
      </w:r>
    </w:p>
    <w:p>
      <w:pPr>
        <w:numPr>
          <w:ilvl w:val="0"/>
          <w:numId w:val="1004"/>
        </w:numPr>
        <w:pStyle w:val="Compact"/>
      </w:pPr>
      <w:r>
        <w:t xml:space="preserve">Whether the top composite-ranked miRNA was also the top SHAP-ranked miRNA from Week 5</w:t>
      </w:r>
    </w:p>
    <w:p>
      <w:pPr>
        <w:pStyle w:val="FirstParagraph"/>
      </w:pPr>
      <w:r>
        <w:t xml:space="preserve">How many of the top 10 composite-ranked miRNAs appeared in both the limma significant list (FDR &lt; 0.05, |log₂FC| &gt; 0.3) and the top 10 SHAP features? Report the exact overlap count. How many miRNAs could be ranked at all, and why is that number so much smaller than the 925 miRNAs in the Week 4 DE table?</w:t>
      </w:r>
    </w:p>
    <w:p>
      <w:r>
        <w:pict>
          <v:rect style="width:0;height:1.5pt" o:hralign="center" o:hrstd="t" o:hr="t"/>
        </w:pict>
      </w:r>
    </w:p>
    <w:bookmarkEnd w:id="25"/>
    <w:bookmarkStart w:id="26" w:name="X655ecb4425e6cdd49da8db617b39fb25d1783e0"/>
    <w:p>
      <w:pPr>
        <w:pStyle w:val="Heading3"/>
      </w:pPr>
      <w:r>
        <w:t xml:space="preserve">Question 7 [R] — multiMiR Target Database Query</w:t>
      </w:r>
    </w:p>
    <w:p>
      <w:pPr>
        <w:pStyle w:val="FirstParagraph"/>
      </w:pPr>
      <w:r>
        <w:t xml:space="preserve">Run the</w:t>
      </w:r>
      <w:r>
        <w:t xml:space="preserve"> </w:t>
      </w:r>
      <w:r>
        <w:rPr>
          <w:rStyle w:val="VerbatimChar"/>
        </w:rPr>
        <w:t xml:space="preserve">multiMiR::get_multimir()</w:t>
      </w:r>
      <w:r>
        <w:t xml:space="preserve"> </w:t>
      </w:r>
      <w:r>
        <w:t xml:space="preserve">query in Section 5, which retrieves validated interactions for the top 15 composite-ranked miRNAs. Report:</w:t>
      </w:r>
    </w:p>
    <w:p>
      <w:pPr>
        <w:numPr>
          <w:ilvl w:val="0"/>
          <w:numId w:val="1005"/>
        </w:numPr>
        <w:pStyle w:val="Compact"/>
      </w:pPr>
      <w:r>
        <w:t xml:space="preserve">The total number of validated miRNA-target interactions returned, and how many come from each database (</w:t>
      </w:r>
      <w:r>
        <w:rPr>
          <w:rStyle w:val="VerbatimChar"/>
        </w:rPr>
        <w:t xml:space="preserve">table(val_df$database)</w:t>
      </w:r>
      <w:r>
        <w:t xml:space="preserve">)</w:t>
      </w:r>
    </w:p>
    <w:p>
      <w:pPr>
        <w:numPr>
          <w:ilvl w:val="0"/>
          <w:numId w:val="1005"/>
        </w:numPr>
        <w:pStyle w:val="Compact"/>
      </w:pPr>
      <w:r>
        <w:t xml:space="preserve">The number of unique target genes, and how many interactions pass the script’s strong-evidence filter (Section 5B)</w:t>
      </w:r>
    </w:p>
    <w:p>
      <w:pPr>
        <w:numPr>
          <w:ilvl w:val="0"/>
          <w:numId w:val="1005"/>
        </w:numPr>
        <w:pStyle w:val="Compact"/>
      </w:pPr>
      <w:r>
        <w:t xml:space="preserve">How many of the strong-evidence targets are in the KEGG Alzheimer’s disease pathway (hsa05010) gene list (see the</w:t>
      </w:r>
      <w:r>
        <w:t xml:space="preserve"> </w:t>
      </w:r>
      <w:r>
        <w:rPr>
          <w:rStyle w:val="VerbatimChar"/>
        </w:rPr>
        <w:t xml:space="preserve">GeneRatio</w:t>
      </w:r>
      <w:r>
        <w:t xml:space="preserve"> </w:t>
      </w:r>
      <w:r>
        <w:t xml:space="preserve">in Question 8)</w:t>
      </w:r>
    </w:p>
    <w:p>
      <w:pPr>
        <w:numPr>
          <w:ilvl w:val="0"/>
          <w:numId w:val="1005"/>
        </w:numPr>
        <w:pStyle w:val="Compact"/>
      </w:pPr>
      <w:r>
        <w:t xml:space="preserve">How many interactions have supporting evidence from luciferase reporter assays:</w:t>
      </w:r>
      <w:r>
        <w:t xml:space="preserve"> </w:t>
      </w:r>
      <w:r>
        <w:rPr>
          <w:rStyle w:val="VerbatimChar"/>
        </w:rPr>
        <w:t xml:space="preserve">sum(grepl("uciferase", val_df$experiment))</w:t>
      </w:r>
    </w:p>
    <w:p>
      <w:pPr>
        <w:pStyle w:val="FirstParagraph"/>
      </w:pPr>
      <w:r>
        <w:t xml:space="preserve">Name the database(s) included in multiMiR that provide validated (not predicted) interactions. Why is there such a large gap between the number of validated interactions and the number with strong evidence?</w:t>
      </w:r>
    </w:p>
    <w:p>
      <w:r>
        <w:pict>
          <v:rect style="width:0;height:1.5pt" o:hralign="center" o:hrstd="t" o:hr="t"/>
        </w:pict>
      </w:r>
    </w:p>
    <w:bookmarkEnd w:id="26"/>
    <w:bookmarkStart w:id="27" w:name="question-8-r-kegg-and-go-enrichment"/>
    <w:p>
      <w:pPr>
        <w:pStyle w:val="Heading3"/>
      </w:pPr>
      <w:r>
        <w:t xml:space="preserve">Question 8 [R] — KEGG and GO Enrichment</w:t>
      </w:r>
    </w:p>
    <w:p>
      <w:pPr>
        <w:pStyle w:val="FirstParagraph"/>
      </w:pPr>
      <w:r>
        <w:t xml:space="preserve">Run</w:t>
      </w:r>
      <w:r>
        <w:t xml:space="preserve"> </w:t>
      </w:r>
      <w:r>
        <w:rPr>
          <w:rStyle w:val="VerbatimChar"/>
        </w:rPr>
        <w:t xml:space="preserve">enrichKEGG()</w:t>
      </w:r>
      <w:r>
        <w:t xml:space="preserve"> </w:t>
      </w:r>
      <w:r>
        <w:t xml:space="preserve">and</w:t>
      </w:r>
      <w:r>
        <w:t xml:space="preserve"> </w:t>
      </w:r>
      <w:r>
        <w:rPr>
          <w:rStyle w:val="VerbatimChar"/>
        </w:rPr>
        <w:t xml:space="preserve">enrichGO()</w:t>
      </w:r>
      <w:r>
        <w:t xml:space="preserve"> </w:t>
      </w:r>
      <w:r>
        <w:t xml:space="preserve">(Biological Process ontology with</w:t>
      </w:r>
      <w:r>
        <w:t xml:space="preserve"> </w:t>
      </w:r>
      <w:r>
        <w:rPr>
          <w:rStyle w:val="VerbatimChar"/>
        </w:rPr>
        <w:t xml:space="preserve">simplify()</w:t>
      </w:r>
      <w:r>
        <w:t xml:space="preserve">) on the target gene list from Question 7. Report:</w:t>
      </w:r>
    </w:p>
    <w:p>
      <w:pPr>
        <w:numPr>
          <w:ilvl w:val="0"/>
          <w:numId w:val="1006"/>
        </w:numPr>
        <w:pStyle w:val="Compact"/>
      </w:pPr>
      <w:r>
        <w:t xml:space="preserve">The total number of significantly enriched KEGG pathways (p.adjust &lt; 0.05)</w:t>
      </w:r>
    </w:p>
    <w:p>
      <w:pPr>
        <w:numPr>
          <w:ilvl w:val="0"/>
          <w:numId w:val="1006"/>
        </w:numPr>
        <w:pStyle w:val="Compact"/>
      </w:pPr>
      <w:r>
        <w:t xml:space="preserve">Whether KEGG pathway hsa05010 (Alzheimer’s disease) appears in the results — if yes, report its adjusted p-value and gene ratio</w:t>
      </w:r>
    </w:p>
    <w:p>
      <w:pPr>
        <w:numPr>
          <w:ilvl w:val="0"/>
          <w:numId w:val="1006"/>
        </w:numPr>
        <w:pStyle w:val="Compact"/>
      </w:pPr>
      <w:r>
        <w:t xml:space="preserve">The names and adjusted p-values of the top 5 enriched GO Biological Process terms</w:t>
      </w:r>
    </w:p>
    <w:p>
      <w:pPr>
        <w:pStyle w:val="FirstParagraph"/>
      </w:pPr>
      <w:r>
        <w:t xml:space="preserve">For the top GO term, explain in one sentence why its enrichment is biologically consistent with an AD miRNA signature.</w:t>
      </w:r>
    </w:p>
    <w:p>
      <w:r>
        <w:pict>
          <v:rect style="width:0;height:1.5pt" o:hralign="center" o:hrstd="t" o:hr="t"/>
        </w:pict>
      </w:r>
    </w:p>
    <w:bookmarkEnd w:id="27"/>
    <w:bookmarkStart w:id="28" w:name="question-9-r-gwas-overlap-analysis"/>
    <w:p>
      <w:pPr>
        <w:pStyle w:val="Heading3"/>
      </w:pPr>
      <w:r>
        <w:t xml:space="preserve">Question 9 [R] — GWAS Overlap Analysis</w:t>
      </w:r>
    </w:p>
    <w:p>
      <w:pPr>
        <w:pStyle w:val="FirstParagraph"/>
      </w:pPr>
      <w:r>
        <w:t xml:space="preserve">After running Section 5, intersect the miRNA targets with genes at known AD GWAS loci:</w:t>
      </w:r>
    </w:p>
    <w:p>
      <w:pPr>
        <w:pStyle w:val="SourceCode"/>
      </w:pPr>
      <w:r>
        <w:rPr>
          <w:rStyle w:val="VerbatimChar"/>
        </w:rPr>
        <w:t xml:space="preserve">ad_gwas &lt;- c("APOE", "BIN1", "CLU", "PICALM", "CR1", "ABCA7", "SORL1", "TREM2",</w:t>
      </w:r>
      <w:r>
        <w:br/>
      </w:r>
      <w:r>
        <w:rPr>
          <w:rStyle w:val="VerbatimChar"/>
        </w:rPr>
        <w:t xml:space="preserve">             "CD33", "MS4A4A", "MS4A6A", "EPHA1", "CD2AP", "PTK2B", "INPP5D",</w:t>
      </w:r>
      <w:r>
        <w:br/>
      </w:r>
      <w:r>
        <w:rPr>
          <w:rStyle w:val="VerbatimChar"/>
        </w:rPr>
        <w:t xml:space="preserve">             "MEF2C", "HLA-DRB1", "CELF1", "FERMT2", "SLC24A4", "CASS4",</w:t>
      </w:r>
      <w:r>
        <w:br/>
      </w:r>
      <w:r>
        <w:rPr>
          <w:rStyle w:val="VerbatimChar"/>
        </w:rPr>
        <w:t xml:space="preserve">             "ADAM10", "ACE", "PLCG2", "ABI3", "SPI1", "APH1B")</w:t>
      </w:r>
      <w:r>
        <w:br/>
      </w:r>
      <w:r>
        <w:br/>
      </w:r>
      <w:r>
        <w:rPr>
          <w:rStyle w:val="VerbatimChar"/>
        </w:rPr>
        <w:t xml:space="preserve"># all validated interactions (Section 5A)</w:t>
      </w:r>
      <w:r>
        <w:br/>
      </w:r>
      <w:r>
        <w:rPr>
          <w:rStyle w:val="VerbatimChar"/>
        </w:rPr>
        <w:t xml:space="preserve">gwas_all &lt;- dplyr::distinct(val_df[val_df$target.symbol %in% ad_gwas, ],</w:t>
      </w:r>
      <w:r>
        <w:br/>
      </w:r>
      <w:r>
        <w:rPr>
          <w:rStyle w:val="VerbatimChar"/>
        </w:rPr>
        <w:t xml:space="preserve">                            mature.mirna, target.symbol)</w:t>
      </w:r>
      <w:r>
        <w:br/>
      </w:r>
      <w:r>
        <w:rPr>
          <w:rStyle w:val="VerbatimChar"/>
        </w:rPr>
        <w:t xml:space="preserve">nrow(gwas_all)</w:t>
      </w:r>
      <w:r>
        <w:br/>
      </w:r>
      <w:r>
        <w:rPr>
          <w:rStyle w:val="VerbatimChar"/>
        </w:rPr>
        <w:t xml:space="preserve"># interactions with strong experimental evidence (Section 5B)</w:t>
      </w:r>
      <w:r>
        <w:br/>
      </w:r>
      <w:r>
        <w:rPr>
          <w:rStyle w:val="VerbatimChar"/>
        </w:rPr>
        <w:t xml:space="preserve">strong_evidence[strong_evidence$target.symbol %in% ad_gwas,</w:t>
      </w:r>
      <w:r>
        <w:br/>
      </w:r>
      <w:r>
        <w:rPr>
          <w:rStyle w:val="VerbatimChar"/>
        </w:rPr>
        <w:t xml:space="preserve">                c("mature.mirna", "target.symbol", "experiment")]</w:t>
      </w:r>
    </w:p>
    <w:p>
      <w:pPr>
        <w:pStyle w:val="FirstParagraph"/>
      </w:pPr>
      <w:r>
        <w:t xml:space="preserve">Report:</w:t>
      </w:r>
    </w:p>
    <w:p>
      <w:pPr>
        <w:numPr>
          <w:ilvl w:val="0"/>
          <w:numId w:val="1007"/>
        </w:numPr>
        <w:pStyle w:val="Compact"/>
      </w:pPr>
      <w:r>
        <w:t xml:space="preserve">The number of validated miRNA-target gene pairs where the target gene is an AD GWAS gene, and how many of them have strong experimental evidence</w:t>
      </w:r>
    </w:p>
    <w:p>
      <w:pPr>
        <w:numPr>
          <w:ilvl w:val="0"/>
          <w:numId w:val="1007"/>
        </w:numPr>
        <w:pStyle w:val="Compact"/>
      </w:pPr>
      <w:r>
        <w:t xml:space="preserve">The name of at least one miRNA whose targets include a well-known GWAS hit (e.g., BIN1, CLU, PICALM, SORL1)</w:t>
      </w:r>
    </w:p>
    <w:p>
      <w:pPr>
        <w:numPr>
          <w:ilvl w:val="0"/>
          <w:numId w:val="1007"/>
        </w:numPr>
        <w:pStyle w:val="Compact"/>
      </w:pPr>
      <w:r>
        <w:t xml:space="preserve">In 2–3 sentences, explain the concept of a miRNA-eQTL: how a SNP in a GWAS locus could affect miRNA expression levels and how this would connect genetic risk to the miRNA signature you have identified</w:t>
      </w:r>
    </w:p>
    <w:p>
      <w:r>
        <w:pict>
          <v:rect style="width:0;height:1.5pt" o:hralign="center" o:hrstd="t" o:hr="t"/>
        </w:pict>
      </w:r>
    </w:p>
    <w:bookmarkEnd w:id="28"/>
    <w:bookmarkStart w:id="29" w:name="X6aefaeefdef983077f788fe554c72a25a27ed81"/>
    <w:p>
      <w:pPr>
        <w:pStyle w:val="Heading3"/>
      </w:pPr>
      <w:r>
        <w:t xml:space="preserve">Question 10 [C] — Stage 2 Validation Study Design</w:t>
      </w:r>
    </w:p>
    <w:p>
      <w:pPr>
        <w:pStyle w:val="FirstParagraph"/>
      </w:pPr>
      <w:r>
        <w:t xml:space="preserve">You have completed a Stage 1 discovery study using GSE120584. Design a Stage 2 biomarker validation study for your top 5 composite-ranked miRNAs. Your design must specify:</w:t>
      </w:r>
    </w:p>
    <w:p>
      <w:pPr>
        <w:numPr>
          <w:ilvl w:val="0"/>
          <w:numId w:val="1008"/>
        </w:numPr>
        <w:pStyle w:val="Compact"/>
      </w:pPr>
      <w:r>
        <w:t xml:space="preserve">The minimum sample size per group (use 80% power, two-tailed α = 0.05, and the AUC from Week 5 as your effect size estimate — state whether you use the cross-validated or the external validation AUC, and why)</w:t>
      </w:r>
    </w:p>
    <w:p>
      <w:pPr>
        <w:numPr>
          <w:ilvl w:val="0"/>
          <w:numId w:val="1008"/>
        </w:numPr>
        <w:pStyle w:val="Compact"/>
      </w:pPr>
      <w:r>
        <w:t xml:space="preserve">The assay platform and pre-analytical protocol (sample type, collection tube, RNA isolation method)</w:t>
      </w:r>
    </w:p>
    <w:p>
      <w:pPr>
        <w:numPr>
          <w:ilvl w:val="0"/>
          <w:numId w:val="1008"/>
        </w:numPr>
        <w:pStyle w:val="Compact"/>
      </w:pPr>
      <w:r>
        <w:t xml:space="preserve">The pre-specified classification threshold and its derivation method</w:t>
      </w:r>
    </w:p>
    <w:p>
      <w:pPr>
        <w:numPr>
          <w:ilvl w:val="0"/>
          <w:numId w:val="1008"/>
        </w:numPr>
        <w:pStyle w:val="Compact"/>
      </w:pPr>
      <w:r>
        <w:t xml:space="preserve">The primary statistical analysis plan, including the performance metric that constitutes a</w:t>
      </w:r>
      <w:r>
        <w:t xml:space="preserve"> </w:t>
      </w:r>
      <w:r>
        <w:t xml:space="preserve">“</w:t>
      </w:r>
      <w:r>
        <w:t xml:space="preserve">pass</w:t>
      </w:r>
      <w:r>
        <w:t xml:space="preserve">”</w:t>
      </w:r>
      <w:r>
        <w:t xml:space="preserve"> </w:t>
      </w:r>
      <w:r>
        <w:t xml:space="preserve">for advancing to Stage 3</w:t>
      </w:r>
    </w:p>
    <w:p>
      <w:pPr>
        <w:pStyle w:val="FirstParagraph"/>
      </w:pPr>
      <w:r>
        <w:t xml:space="preserve">Justify each choice with reference to TRIPOD guidelines or the FDA analytical validation framework discussed in the lecture. Given the Week 5 external validation result, is a Stage 2 study justified yet?</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2026-09-25T10:08:12Z</dcterms:created>
  <dcterms:modified xsi:type="dcterms:W3CDTF">2026-09-25T10:08:12Z</dcterms:modified>
</cp:coreProperties>
</file>

<file path=docProps/custom.xml><?xml version="1.0" encoding="utf-8"?>
<Properties xmlns="http://schemas.openxmlformats.org/officeDocument/2006/custom-properties" xmlns:vt="http://schemas.openxmlformats.org/officeDocument/2006/docPropsVTypes"/>
</file>