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b77303fc7d2c5fd2257d04fe74feaa0d6f8fd57"/>
      <w:r>
        <w:rPr/>
        <w:t>Week 1 Assignment — Foundations of miRNA Biomarker Discovery</w:t>
      </w:r>
    </w:p>
    <w:p>
      <w:pPr>
        <w:pStyle w:val="Heading2"/>
        <w:rPr/>
      </w:pPr>
      <w:bookmarkStart w:id="1" w:name="Xa24ed3be1acc8c66657fceceabc1d96561abca1"/>
      <w:r>
        <w:rPr/>
        <w:t>Course: AI/ML-Based Biomarker Discovery | Dataset: GSE120584, GSE46579</w:t>
      </w:r>
    </w:p>
    <w:p>
      <w:pPr>
        <w:pStyle w:val="FirstParagraph"/>
        <w:rPr/>
      </w:pPr>
      <w:r>
        <w:rPr>
          <w:b/>
          <w:bCs/>
        </w:rPr>
        <w:t>Instructions:</w:t>
      </w:r>
      <w:r>
        <w:rPr/>
        <w:t xml:space="preserve"> Questions marked [C] are conceptual and should be answered from your lecture notes and readings. Questions marked [R] require you to run the corresponding section of </w:t>
      </w:r>
      <w:r>
        <w:rPr>
          <w:rStyle w:val="VerbatimChar"/>
        </w:rPr>
        <w:t>Week1_Setup_Template.R</w:t>
      </w:r>
      <w:r>
        <w:rPr/>
        <w:t xml:space="preserve"> in RStudio and report the exact output from your session.</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 w:name="X6ee16b0387acd385094838f117011877b747572"/>
      <w:r>
        <w:rPr/>
        <w:t>Question 1 [C] — Alzheimer’s Disease Molecular Hallmarks</w:t>
      </w:r>
    </w:p>
    <w:p>
      <w:pPr>
        <w:pStyle w:val="FirstParagraph"/>
        <w:rPr/>
      </w:pPr>
      <w:r>
        <w:rPr/>
        <w:t>Describe the two defining neuropathological hallmarks of Alzheimer’s disease and explain why serum-based biomarker discovery using miRNAs is particularly challenging relative to CSF-based approaches. In your answer, identify the approximate diagnostic window in which detectable molecular changes precede clinical symptoms.</w:t>
      </w:r>
    </w:p>
    <w:p>
      <w:pPr>
        <w:pStyle w:val="Normal"/>
        <w:rPr/>
      </w:pPr>
      <w:bookmarkStart w:id="3" w:name="X6ee16b0387acd385094838f117011877b747572"/>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3"/>
        <w:rPr/>
      </w:pPr>
      <w:bookmarkStart w:id="4" w:name="question-2-c-mirna-biogenesis-pathway"/>
      <w:r>
        <w:rPr/>
        <w:t>Question 2 [C] — miRNA Biogenesis Pathway</w:t>
      </w:r>
    </w:p>
    <w:p>
      <w:pPr>
        <w:pStyle w:val="FirstParagraph"/>
        <w:rPr/>
      </w:pPr>
      <w:r>
        <w:rPr/>
        <w:t>Trace the complete biogenesis pathway of a mature miRNA from its genomic locus to its incorporation into RISC. Name the key enzymatic steps and the proteins responsible for each cleavage event. If a patient carries a germline mutation in the DGCR8 gene, predict what would happen to the levels of mature miRNAs derived from intronic miRNA genes versus intergenic miRNA genes, and explain why.</w:t>
      </w:r>
    </w:p>
    <w:p>
      <w:pPr>
        <w:pStyle w:val="Normal"/>
        <w:rPr/>
      </w:pPr>
      <w:bookmarkStart w:id="5" w:name="question-2-c-mirna-biogenesis-pathway"/>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3"/>
        <w:rPr/>
      </w:pPr>
      <w:bookmarkStart w:id="6" w:name="question-3-c-technology-comparison"/>
      <w:r>
        <w:rPr/>
        <w:t>Question 3 [C] — Technology Comparison</w:t>
      </w:r>
    </w:p>
    <w:p>
      <w:pPr>
        <w:pStyle w:val="FirstParagraph"/>
        <w:rPr/>
      </w:pPr>
      <w:r>
        <w:rPr/>
        <w:t>Compare RNA-seq and microarray platforms for miRNA profiling across five dimensions: (a) dynamic range, (b) ability to detect novel sequences, (c) background noise characteristics, (d) cost per sample, and (e) bioinformatics complexity. Conclude with a justified recommendation for which platform you would choose for a discovery cohort of 200 serum samples.</w:t>
      </w:r>
    </w:p>
    <w:p>
      <w:pPr>
        <w:pStyle w:val="Normal"/>
        <w:rPr/>
      </w:pPr>
      <w:bookmarkStart w:id="7" w:name="question-3-c-technology-comparis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3"/>
        <w:rPr/>
      </w:pPr>
      <w:bookmarkStart w:id="8" w:name="question-4-c-the-mir-29b-bace1-axis"/>
      <w:r>
        <w:rPr/>
        <w:t>Question 4 [C] — The miR-29b / BACE1 Axis</w:t>
      </w:r>
    </w:p>
    <w:p>
      <w:pPr>
        <w:pStyle w:val="FirstParagraph"/>
        <w:rPr/>
      </w:pPr>
      <w:r>
        <w:rPr/>
        <w:t>Explain the mechanistic relationship between miR-29b-3p and BACE1 in the context of Alzheimer’s disease pathology. Describe (a) how BACE1 contributes to amyloid beta generation, (b) how miR-29b-3p is thought to regulate BACE1 expression, and (c) why this axis represents a potential therapeutic target. At what disease stage are miR-29b-3p levels typically altered relative to the appearance of amyloid PET positivity?</w:t>
      </w:r>
    </w:p>
    <w:p>
      <w:pPr>
        <w:pStyle w:val="Normal"/>
        <w:rPr/>
      </w:pPr>
      <w:bookmarkStart w:id="9" w:name="question-4-c-the-mir-29b-bace1-axi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question-5-c-why-no-single-biomarker"/>
      <w:r>
        <w:rPr/>
        <w:t>Question 5 [C] — Why No Single Biomarker</w:t>
      </w:r>
    </w:p>
    <w:p>
      <w:pPr>
        <w:pStyle w:val="FirstParagraph"/>
        <w:rPr/>
      </w:pPr>
      <w:r>
        <w:rPr/>
        <w:t>Despite decades of research, no single miRNA has been approved as a diagnostic biomarker for Alzheimer’s disease. Provide three distinct scientific or technical reasons that explain this gap, drawing on concepts from study design, assay technology, and disease biology.</w:t>
      </w:r>
    </w:p>
    <w:p>
      <w:pPr>
        <w:pStyle w:val="Normal"/>
        <w:rPr/>
      </w:pPr>
      <w:bookmarkStart w:id="11" w:name="question-5-c-why-no-single-biomarke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3"/>
        <w:rPr/>
      </w:pPr>
      <w:bookmarkStart w:id="12" w:name="question-6-r-package-version-audit"/>
      <w:r>
        <w:rPr/>
        <w:t>Question 6 [R] — Package Version Audit</w:t>
      </w:r>
    </w:p>
    <w:p>
      <w:pPr>
        <w:pStyle w:val="FirstParagraph"/>
        <w:rPr/>
      </w:pPr>
      <w:r>
        <w:rPr/>
        <w:t>Run the following command block in RStudio and record the exact version string for each package:</w:t>
      </w:r>
    </w:p>
    <w:p>
      <w:pPr>
        <w:pStyle w:val="SourceCode"/>
        <w:rPr/>
      </w:pPr>
      <w:r>
        <w:rPr>
          <w:rStyle w:val="FunctionTok"/>
        </w:rPr>
        <w:t>library</w:t>
      </w:r>
      <w:r>
        <w:rPr>
          <w:rStyle w:val="NormalTok"/>
        </w:rPr>
        <w:t>(BiocManager)</w:t>
      </w:r>
      <w:r>
        <w:rPr/>
        <w:br/>
      </w:r>
      <w:r>
        <w:rPr>
          <w:rStyle w:val="NormalTok"/>
        </w:rPr>
        <w:t xml:space="preserve">pkgs </w:t>
      </w:r>
      <w:r>
        <w:rPr>
          <w:rStyle w:val="OtherTok"/>
        </w:rPr>
        <w:t>&lt;-</w:t>
      </w:r>
      <w:r>
        <w:rPr>
          <w:rStyle w:val="NormalTok"/>
        </w:rPr>
        <w:t xml:space="preserve"> </w:t>
      </w:r>
      <w:r>
        <w:rPr>
          <w:rStyle w:val="FunctionTok"/>
        </w:rPr>
        <w:t>c</w:t>
      </w:r>
      <w:r>
        <w:rPr>
          <w:rStyle w:val="NormalTok"/>
        </w:rPr>
        <w:t>(</w:t>
      </w:r>
      <w:r>
        <w:rPr>
          <w:rStyle w:val="StringTok"/>
        </w:rPr>
        <w:t>"GEOquery"</w:t>
      </w:r>
      <w:r>
        <w:rPr>
          <w:rStyle w:val="NormalTok"/>
        </w:rPr>
        <w:t xml:space="preserve">, </w:t>
      </w:r>
      <w:r>
        <w:rPr>
          <w:rStyle w:val="StringTok"/>
        </w:rPr>
        <w:t>"DESeq2"</w:t>
      </w:r>
      <w:r>
        <w:rPr>
          <w:rStyle w:val="NormalTok"/>
        </w:rPr>
        <w:t xml:space="preserve">, </w:t>
      </w:r>
      <w:r>
        <w:rPr>
          <w:rStyle w:val="StringTok"/>
        </w:rPr>
        <w:t>"limma"</w:t>
      </w:r>
      <w:r>
        <w:rPr>
          <w:rStyle w:val="NormalTok"/>
        </w:rPr>
        <w:t xml:space="preserve">, </w:t>
      </w:r>
      <w:r>
        <w:rPr>
          <w:rStyle w:val="StringTok"/>
        </w:rPr>
        <w:t>"edgeR"</w:t>
      </w:r>
      <w:r>
        <w:rPr>
          <w:rStyle w:val="NormalTok"/>
        </w:rPr>
        <w:t>,</w:t>
      </w:r>
      <w:r>
        <w:rPr/>
        <w:br/>
      </w:r>
      <w:r>
        <w:rPr>
          <w:rStyle w:val="NormalTok"/>
        </w:rPr>
        <w:t xml:space="preserve">          </w:t>
      </w:r>
      <w:r>
        <w:rPr>
          <w:rStyle w:val="StringTok"/>
        </w:rPr>
        <w:t>"miRBaseConverter"</w:t>
      </w:r>
      <w:r>
        <w:rPr>
          <w:rStyle w:val="NormalTok"/>
        </w:rPr>
        <w:t xml:space="preserve">, </w:t>
      </w:r>
      <w:r>
        <w:rPr>
          <w:rStyle w:val="StringTok"/>
        </w:rPr>
        <w:t>"clusterProfiler"</w:t>
      </w:r>
      <w:r>
        <w:rPr>
          <w:rStyle w:val="NormalTok"/>
        </w:rPr>
        <w:t xml:space="preserve">, </w:t>
      </w:r>
      <w:r>
        <w:rPr>
          <w:rStyle w:val="StringTok"/>
        </w:rPr>
        <w:t>"caret"</w:t>
      </w:r>
      <w:r>
        <w:rPr>
          <w:rStyle w:val="NormalTok"/>
        </w:rPr>
        <w:t xml:space="preserve">, </w:t>
      </w:r>
      <w:r>
        <w:rPr>
          <w:rStyle w:val="StringTok"/>
        </w:rPr>
        <w:t>"pROC"</w:t>
      </w:r>
      <w:r>
        <w:rPr>
          <w:rStyle w:val="NormalTok"/>
        </w:rPr>
        <w:t>)</w:t>
      </w:r>
      <w:r>
        <w:rPr/>
        <w:br/>
      </w:r>
      <w:r>
        <w:rPr>
          <w:rStyle w:val="ControlFlowTok"/>
        </w:rPr>
        <w:t>for</w:t>
      </w:r>
      <w:r>
        <w:rPr>
          <w:rStyle w:val="NormalTok"/>
        </w:rPr>
        <w:t xml:space="preserve"> (p </w:t>
      </w:r>
      <w:r>
        <w:rPr>
          <w:rStyle w:val="ControlFlowTok"/>
        </w:rPr>
        <w:t>in</w:t>
      </w:r>
      <w:r>
        <w:rPr>
          <w:rStyle w:val="NormalTok"/>
        </w:rPr>
        <w:t xml:space="preserve"> pkgs) </w:t>
      </w:r>
      <w:r>
        <w:rPr>
          <w:rStyle w:val="FunctionTok"/>
        </w:rPr>
        <w:t>cat</w:t>
      </w:r>
      <w:r>
        <w:rPr>
          <w:rStyle w:val="NormalTok"/>
        </w:rPr>
        <w:t xml:space="preserve">(p, </w:t>
      </w:r>
      <w:r>
        <w:rPr>
          <w:rStyle w:val="StringTok"/>
        </w:rPr>
        <w:t>":"</w:t>
      </w:r>
      <w:r>
        <w:rPr>
          <w:rStyle w:val="NormalTok"/>
        </w:rPr>
        <w:t xml:space="preserve">, </w:t>
      </w:r>
      <w:r>
        <w:rPr>
          <w:rStyle w:val="FunctionTok"/>
        </w:rPr>
        <w:t>as.character</w:t>
      </w:r>
      <w:r>
        <w:rPr>
          <w:rStyle w:val="NormalTok"/>
        </w:rPr>
        <w:t>(</w:t>
      </w:r>
      <w:r>
        <w:rPr>
          <w:rStyle w:val="FunctionTok"/>
        </w:rPr>
        <w:t>packageVersion</w:t>
      </w:r>
      <w:r>
        <w:rPr>
          <w:rStyle w:val="NormalTok"/>
        </w:rPr>
        <w:t xml:space="preserve">(p)), </w:t>
      </w:r>
      <w:r>
        <w:rPr>
          <w:rStyle w:val="StringTok"/>
        </w:rPr>
        <w:t>"</w:t>
      </w:r>
      <w:r>
        <w:rPr>
          <w:rStyle w:val="SpecialCharTok"/>
        </w:rPr>
        <w:t>\n</w:t>
      </w:r>
      <w:r>
        <w:rPr>
          <w:rStyle w:val="StringTok"/>
        </w:rPr>
        <w:t>"</w:t>
      </w:r>
      <w:r>
        <w:rPr>
          <w:rStyle w:val="NormalTok"/>
        </w:rPr>
        <w:t>)</w:t>
      </w:r>
    </w:p>
    <w:p>
      <w:pPr>
        <w:pStyle w:val="FirstParagraph"/>
        <w:rPr/>
      </w:pPr>
      <w:r>
        <w:rPr/>
        <w:t>Report all eight version strings in a table. Note any package that deviates from the versions listed in the course setup documentation and state whether the deviation is a patch, minor, or major version difference.</w:t>
      </w:r>
    </w:p>
    <w:p>
      <w:pPr>
        <w:pStyle w:val="Normal"/>
        <w:rPr/>
      </w:pPr>
      <w:bookmarkStart w:id="13" w:name="question-6-r-package-version-audit"/>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rPr/>
      </w:pPr>
      <w:bookmarkStart w:id="14" w:name="question-7-r-environment-verification"/>
      <w:r>
        <w:rPr/>
        <w:t>Question 7 [R] — Environment Verification</w:t>
      </w:r>
    </w:p>
    <w:p>
      <w:pPr>
        <w:pStyle w:val="FirstParagraph"/>
        <w:rPr/>
      </w:pPr>
      <w:r>
        <w:rPr/>
        <w:t xml:space="preserve">Run the library-loading block in Section 2 of </w:t>
      </w:r>
      <w:r>
        <w:rPr>
          <w:rStyle w:val="VerbatimChar"/>
        </w:rPr>
        <w:t>Week1_Setup_Template.R</w:t>
      </w:r>
      <w:r>
        <w:rPr/>
        <w:t>. After loading, run:</w:t>
      </w:r>
    </w:p>
    <w:p>
      <w:pPr>
        <w:pStyle w:val="SourceCode"/>
        <w:rPr/>
      </w:pPr>
      <w:r>
        <w:rPr>
          <w:rStyle w:val="NormalTok"/>
        </w:rPr>
        <w:t>R.version</w:t>
      </w:r>
      <w:r>
        <w:rPr>
          <w:rStyle w:val="SpecialCharTok"/>
        </w:rPr>
        <w:t>$</w:t>
      </w:r>
      <w:r>
        <w:rPr>
          <w:rStyle w:val="NormalTok"/>
        </w:rPr>
        <w:t>version.string</w:t>
      </w:r>
      <w:r>
        <w:rPr/>
        <w:br/>
      </w:r>
      <w:r>
        <w:rPr>
          <w:rStyle w:val="NormalTok"/>
        </w:rPr>
        <w:t>BiocManager</w:t>
      </w:r>
      <w:r>
        <w:rPr>
          <w:rStyle w:val="SpecialCharTok"/>
        </w:rPr>
        <w:t>::</w:t>
      </w:r>
      <w:r>
        <w:rPr>
          <w:rStyle w:val="FunctionTok"/>
        </w:rPr>
        <w:t>version</w:t>
      </w:r>
      <w:r>
        <w:rPr>
          <w:rStyle w:val="NormalTok"/>
        </w:rPr>
        <w:t>()</w:t>
      </w:r>
    </w:p>
    <w:p>
      <w:pPr>
        <w:pStyle w:val="FirstParagraph"/>
        <w:rPr/>
      </w:pPr>
      <w:r>
        <w:rPr/>
        <w:t>Report (a) the full R version string, (b) the Bioconductor version number, and (c) any warning messages produced during library loading. For each warning, identify which package triggered it and whether it indicates a compatibility concern.</w:t>
      </w:r>
    </w:p>
    <w:p>
      <w:pPr>
        <w:pStyle w:val="Normal"/>
        <w:rPr/>
      </w:pPr>
      <w:bookmarkStart w:id="15" w:name="question-7-r-environment-verifica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3"/>
        <w:rPr/>
      </w:pPr>
      <w:bookmarkStart w:id="16" w:name="question-8-r-geo-dataset-inspection"/>
      <w:r>
        <w:rPr/>
        <w:t>Question 8 [R] — GEO Dataset Inspection</w:t>
      </w:r>
    </w:p>
    <w:p>
      <w:pPr>
        <w:pStyle w:val="FirstParagraph"/>
        <w:rPr/>
      </w:pPr>
      <w:r>
        <w:rPr/>
        <w:t>Execute the GEO download section of the script to retrieve metadata for GSE120584:</w:t>
      </w:r>
    </w:p>
    <w:p>
      <w:pPr>
        <w:pStyle w:val="SourceCode"/>
        <w:rPr/>
      </w:pPr>
      <w:r>
        <w:rPr>
          <w:rStyle w:val="FunctionTok"/>
        </w:rPr>
        <w:t>library</w:t>
      </w:r>
      <w:r>
        <w:rPr>
          <w:rStyle w:val="NormalTok"/>
        </w:rPr>
        <w:t>(GEOquery)</w:t>
      </w:r>
      <w:r>
        <w:rPr/>
        <w:br/>
      </w:r>
      <w:r>
        <w:rPr>
          <w:rStyle w:val="NormalTok"/>
        </w:rPr>
        <w:t xml:space="preserve">gse </w:t>
      </w:r>
      <w:r>
        <w:rPr>
          <w:rStyle w:val="OtherTok"/>
        </w:rPr>
        <w:t>&lt;-</w:t>
      </w:r>
      <w:r>
        <w:rPr>
          <w:rStyle w:val="NormalTok"/>
        </w:rPr>
        <w:t xml:space="preserve"> </w:t>
      </w:r>
      <w:r>
        <w:rPr>
          <w:rStyle w:val="FunctionTok"/>
        </w:rPr>
        <w:t>getGEO</w:t>
      </w:r>
      <w:r>
        <w:rPr>
          <w:rStyle w:val="NormalTok"/>
        </w:rPr>
        <w:t>(</w:t>
      </w:r>
      <w:r>
        <w:rPr>
          <w:rStyle w:val="StringTok"/>
        </w:rPr>
        <w:t>"GSE120584"</w:t>
      </w:r>
      <w:r>
        <w:rPr>
          <w:rStyle w:val="NormalTok"/>
        </w:rPr>
        <w:t xml:space="preserve">, </w:t>
      </w:r>
      <w:r>
        <w:rPr>
          <w:rStyle w:val="AttributeTok"/>
        </w:rPr>
        <w:t>GSEMatrix =</w:t>
      </w:r>
      <w:r>
        <w:rPr>
          <w:rStyle w:val="NormalTok"/>
        </w:rPr>
        <w:t xml:space="preserve"> </w:t>
      </w:r>
      <w:r>
        <w:rPr>
          <w:rStyle w:val="ConstantTok"/>
        </w:rPr>
        <w:t>TRUE</w:t>
      </w:r>
      <w:r>
        <w:rPr>
          <w:rStyle w:val="NormalTok"/>
        </w:rPr>
        <w:t xml:space="preserve">, </w:t>
      </w:r>
      <w:r>
        <w:rPr>
          <w:rStyle w:val="AttributeTok"/>
        </w:rPr>
        <w:t>getGPL =</w:t>
      </w:r>
      <w:r>
        <w:rPr>
          <w:rStyle w:val="NormalTok"/>
        </w:rPr>
        <w:t xml:space="preserve"> </w:t>
      </w:r>
      <w:r>
        <w:rPr>
          <w:rStyle w:val="ConstantTok"/>
        </w:rPr>
        <w:t>FALSE</w:t>
      </w:r>
      <w:r>
        <w:rPr>
          <w:rStyle w:val="NormalTok"/>
        </w:rPr>
        <w:t>)</w:t>
      </w:r>
      <w:r>
        <w:rPr/>
        <w:br/>
      </w:r>
      <w:r>
        <w:rPr>
          <w:rStyle w:val="NormalTok"/>
        </w:rPr>
        <w:t xml:space="preserve">eset </w:t>
      </w:r>
      <w:r>
        <w:rPr>
          <w:rStyle w:val="OtherTok"/>
        </w:rPr>
        <w:t>&lt;-</w:t>
      </w:r>
      <w:r>
        <w:rPr>
          <w:rStyle w:val="NormalTok"/>
        </w:rPr>
        <w:t xml:space="preserve"> gse[[</w:t>
      </w:r>
      <w:r>
        <w:rPr>
          <w:rStyle w:val="DecValTok"/>
        </w:rPr>
        <w:t>1</w:t>
      </w:r>
      <w:r>
        <w:rPr>
          <w:rStyle w:val="NormalTok"/>
        </w:rPr>
        <w:t>]]</w:t>
      </w:r>
      <w:r>
        <w:rPr/>
        <w:br/>
      </w:r>
      <w:r>
        <w:rPr>
          <w:rStyle w:val="FunctionTok"/>
        </w:rPr>
        <w:t>cat</w:t>
      </w:r>
      <w:r>
        <w:rPr>
          <w:rStyle w:val="NormalTok"/>
        </w:rPr>
        <w:t>(</w:t>
      </w:r>
      <w:r>
        <w:rPr>
          <w:rStyle w:val="StringTok"/>
        </w:rPr>
        <w:t>"Platform:"</w:t>
      </w:r>
      <w:r>
        <w:rPr>
          <w:rStyle w:val="NormalTok"/>
        </w:rPr>
        <w:t xml:space="preserve">, </w:t>
      </w:r>
      <w:r>
        <w:rPr>
          <w:rStyle w:val="FunctionTok"/>
        </w:rPr>
        <w:t>annotation</w:t>
      </w:r>
      <w:r>
        <w:rPr>
          <w:rStyle w:val="NormalTok"/>
        </w:rPr>
        <w:t xml:space="preserve">(eset), </w:t>
      </w:r>
      <w:r>
        <w:rPr>
          <w:rStyle w:val="StringTok"/>
        </w:rPr>
        <w:t>"</w:t>
      </w:r>
      <w:r>
        <w:rPr>
          <w:rStyle w:val="SpecialCharTok"/>
        </w:rPr>
        <w:t>\n</w:t>
      </w:r>
      <w:r>
        <w:rPr>
          <w:rStyle w:val="StringTok"/>
        </w:rPr>
        <w:t>"</w:t>
      </w:r>
      <w:r>
        <w:rPr>
          <w:rStyle w:val="NormalTok"/>
        </w:rPr>
        <w:t>)</w:t>
      </w:r>
      <w:r>
        <w:rPr/>
        <w:br/>
      </w:r>
      <w:r>
        <w:rPr>
          <w:rStyle w:val="FunctionTok"/>
        </w:rPr>
        <w:t>cat</w:t>
      </w:r>
      <w:r>
        <w:rPr>
          <w:rStyle w:val="NormalTok"/>
        </w:rPr>
        <w:t>(</w:t>
      </w:r>
      <w:r>
        <w:rPr>
          <w:rStyle w:val="StringTok"/>
        </w:rPr>
        <w:t>"Total samples:"</w:t>
      </w:r>
      <w:r>
        <w:rPr>
          <w:rStyle w:val="NormalTok"/>
        </w:rPr>
        <w:t xml:space="preserve">, </w:t>
      </w:r>
      <w:r>
        <w:rPr>
          <w:rStyle w:val="FunctionTok"/>
        </w:rPr>
        <w:t>ncol</w:t>
      </w:r>
      <w:r>
        <w:rPr>
          <w:rStyle w:val="NormalTok"/>
        </w:rPr>
        <w:t xml:space="preserve">(eset), </w:t>
      </w:r>
      <w:r>
        <w:rPr>
          <w:rStyle w:val="StringTok"/>
        </w:rPr>
        <w:t>"</w:t>
      </w:r>
      <w:r>
        <w:rPr>
          <w:rStyle w:val="SpecialCharTok"/>
        </w:rPr>
        <w:t>\n</w:t>
      </w:r>
      <w:r>
        <w:rPr>
          <w:rStyle w:val="StringTok"/>
        </w:rPr>
        <w:t>"</w:t>
      </w:r>
      <w:r>
        <w:rPr>
          <w:rStyle w:val="NormalTok"/>
        </w:rPr>
        <w:t>)</w:t>
      </w:r>
      <w:r>
        <w:rPr/>
        <w:br/>
      </w:r>
      <w:r>
        <w:rPr>
          <w:rStyle w:val="FunctionTok"/>
        </w:rPr>
        <w:t>print</w:t>
      </w:r>
      <w:r>
        <w:rPr>
          <w:rStyle w:val="NormalTok"/>
        </w:rPr>
        <w:t>(</w:t>
      </w:r>
      <w:r>
        <w:rPr>
          <w:rStyle w:val="FunctionTok"/>
        </w:rPr>
        <w:t>table</w:t>
      </w:r>
      <w:r>
        <w:rPr>
          <w:rStyle w:val="NormalTok"/>
        </w:rPr>
        <w:t>(</w:t>
      </w:r>
      <w:r>
        <w:rPr>
          <w:rStyle w:val="FunctionTok"/>
        </w:rPr>
        <w:t>pData</w:t>
      </w:r>
      <w:r>
        <w:rPr>
          <w:rStyle w:val="NormalTok"/>
        </w:rPr>
        <w:t>(eset)</w:t>
      </w:r>
      <w:r>
        <w:rPr>
          <w:rStyle w:val="SpecialCharTok"/>
        </w:rPr>
        <w:t>$</w:t>
      </w:r>
      <w:r>
        <w:rPr>
          <w:rStyle w:val="NormalTok"/>
        </w:rPr>
        <w:t>characteristics_ch1))</w:t>
      </w:r>
    </w:p>
    <w:p>
      <w:pPr>
        <w:pStyle w:val="FirstParagraph"/>
        <w:rPr/>
      </w:pPr>
      <w:r>
        <w:rPr/>
        <w:t xml:space="preserve">Report (a) the GPL accession number, (b) the total sample count, and (c) a frequency table of the sample groups. Do the group sizes match what is stated in the Week 1 lecture? </w:t>
      </w:r>
    </w:p>
    <w:p>
      <w:pPr>
        <w:pStyle w:val="Normal"/>
        <w:rPr/>
      </w:pPr>
      <w:bookmarkStart w:id="17" w:name="question-8-r-geo-dataset-inspec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3"/>
        <w:rPr/>
      </w:pPr>
      <w:bookmarkStart w:id="18" w:name="question-9-r-mirbase-accession-lookup"/>
      <w:r>
        <w:rPr/>
        <w:t>Question 9 [R] — miRBase Accession Lookup</w:t>
      </w:r>
    </w:p>
    <w:p>
      <w:pPr>
        <w:pStyle w:val="FirstParagraph"/>
        <w:rPr/>
      </w:pPr>
      <w:r>
        <w:rPr/>
        <w:t xml:space="preserve">Run the miRBaseConverter section of the script. Use </w:t>
      </w:r>
      <w:r>
        <w:rPr>
          <w:rStyle w:val="VerbatimChar"/>
        </w:rPr>
        <w:t>miRNA_NameToAccession()</w:t>
      </w:r>
      <w:r>
        <w:rPr/>
        <w:t xml:space="preserve"> to retrieve MIMAT accessions for the following five miRNAs: </w:t>
      </w:r>
      <w:r>
        <w:rPr>
          <w:rStyle w:val="VerbatimChar"/>
        </w:rPr>
        <w:t>hsa-miR-21-5p</w:t>
      </w:r>
      <w:r>
        <w:rPr/>
        <w:t xml:space="preserve">, </w:t>
      </w:r>
      <w:r>
        <w:rPr>
          <w:rStyle w:val="VerbatimChar"/>
        </w:rPr>
        <w:t>hsa-miR-29b-3p</w:t>
      </w:r>
      <w:r>
        <w:rPr/>
        <w:t xml:space="preserve">, </w:t>
      </w:r>
      <w:r>
        <w:rPr>
          <w:rStyle w:val="VerbatimChar"/>
        </w:rPr>
        <w:t>hsa-miR-132-3p</w:t>
      </w:r>
      <w:r>
        <w:rPr/>
        <w:t xml:space="preserve">, </w:t>
      </w:r>
      <w:r>
        <w:rPr>
          <w:rStyle w:val="VerbatimChar"/>
        </w:rPr>
        <w:t>hsa-miR-146a-5p</w:t>
      </w:r>
      <w:r>
        <w:rPr/>
        <w:t xml:space="preserve">, </w:t>
      </w:r>
      <w:r>
        <w:rPr>
          <w:rStyle w:val="VerbatimChar"/>
        </w:rPr>
        <w:t>hsa-miR-155-5p</w:t>
      </w:r>
      <w:r>
        <w:rPr/>
        <w:t>. Report the MIMAT accession for each. What is the practical importance of storing MIMAT accessions rather than miRNA names when working across multiple datasets?</w:t>
      </w:r>
    </w:p>
    <w:p>
      <w:pPr>
        <w:pStyle w:val="Normal"/>
        <w:rPr/>
      </w:pPr>
      <w:bookmarkStart w:id="19" w:name="question-9-r-mirbase-accession-lookup"/>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3"/>
        <w:rPr/>
      </w:pPr>
      <w:bookmarkStart w:id="20" w:name="question-10-r-session-information"/>
      <w:r>
        <w:rPr/>
        <w:t>Question 10 [R] — Session Information</w:t>
      </w:r>
    </w:p>
    <w:p>
      <w:pPr>
        <w:pStyle w:val="FirstParagraph"/>
        <w:spacing w:before="180" w:after="180"/>
        <w:rPr/>
      </w:pPr>
      <w:r>
        <w:rPr/>
        <w:t xml:space="preserve">At the end of your RStudio session, run </w:t>
      </w:r>
      <w:r>
        <w:rPr>
          <w:rStyle w:val="VerbatimChar"/>
        </w:rPr>
        <w:t>sessionInfo()</w:t>
      </w:r>
      <w:r>
        <w:rPr/>
        <w:t xml:space="preserve"> and report: (a) the R version, (b) the operating system and locale, (c) the names and versions of all attached packages, and (d) the names of any packages loaded via namespace but not attached. Briefly explain the difference between an </w:t>
      </w:r>
      <w:r>
        <w:rPr>
          <w:i/>
          <w:iCs/>
        </w:rPr>
        <w:t>attached</w:t>
      </w:r>
      <w:r>
        <w:rPr/>
        <w:t xml:space="preserve"> and a </w:t>
      </w:r>
      <w:r>
        <w:rPr>
          <w:i/>
          <w:iCs/>
        </w:rPr>
        <w:t>namespace-loaded</w:t>
      </w:r>
      <w:r>
        <w:rPr/>
        <w:t xml:space="preserve"> package in R.</w:t>
      </w:r>
      <w:bookmarkEnd w:id="0"/>
      <w:bookmarkEnd w:id="1"/>
      <w:bookmarkEnd w:id="2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3</Pages>
  <Words>659</Words>
  <Characters>3990</Characters>
  <CharactersWithSpaces>4642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2026-05-21T12:54:51Z</dcterms:created>
  <dc:creator/>
  <dc:description/>
  <dc:language>en-US</dc:language>
  <cp:lastModifiedBy/>
  <dcterms:modified xsi:type="dcterms:W3CDTF">2026-05-21T23:00:38Z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