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e2958c25a873955a8fc63889d230f48dc009dbc"/>
    <w:p>
      <w:pPr>
        <w:pStyle w:val="Heading1"/>
      </w:pPr>
      <w:r>
        <w:t xml:space="preserve">Week 4 Assignment — Differential Expression and Feature Selection</w:t>
      </w:r>
    </w:p>
    <w:bookmarkStart w:id="30" w:name="Xa24ed3be1acc8c66657fceceabc1d96561abca1"/>
    <w:p>
      <w:pPr>
        <w:pStyle w:val="Heading2"/>
      </w:pPr>
      <w:r>
        <w:t xml:space="preserve">Course: AI/ML-Based Biomarker Discovery | Dataset: GSE120584, GSE46579</w:t>
      </w:r>
    </w:p>
    <w:p>
      <w:pPr>
        <w:pStyle w:val="FirstParagraph"/>
      </w:pPr>
      <w:r>
        <w:rPr>
          <w:bCs/>
          <w:b/>
        </w:rPr>
        <w:t xml:space="preserve">Instructions:</w:t>
      </w:r>
      <w:r>
        <w:t xml:space="preserve"> </w:t>
      </w:r>
      <w:r>
        <w:t xml:space="preserve">Questions marked [C] are conceptual and should be answered from your lecture notes and readings. Questions marked [R] require you to run the corresponding section of</w:t>
      </w:r>
      <w:r>
        <w:t xml:space="preserve"> </w:t>
      </w:r>
      <w:r>
        <w:rPr>
          <w:rStyle w:val="VerbatimChar"/>
        </w:rPr>
        <w:t xml:space="preserve">Week4_DE_FeatureSelection.R</w:t>
      </w:r>
      <w:r>
        <w:t xml:space="preserve"> </w:t>
      </w:r>
      <w:r>
        <w:t xml:space="preserve">in RStudio and report the exact output from your session.</w:t>
      </w:r>
    </w:p>
    <w:p>
      <w:r>
        <w:pict>
          <v:rect style="width:0;height:1.5pt" o:hralign="center" o:hrstd="t" o:hr="t"/>
        </w:pict>
      </w:r>
    </w:p>
    <w:bookmarkStart w:id="20" w:name="question-1-c-log-fold-change-shrinkage"/>
    <w:p>
      <w:pPr>
        <w:pStyle w:val="Heading3"/>
      </w:pPr>
      <w:r>
        <w:t xml:space="preserve">Question 1 [C] — Log-Fold Change Shrinkage</w:t>
      </w:r>
    </w:p>
    <w:p>
      <w:pPr>
        <w:pStyle w:val="FirstParagraph"/>
      </w:pPr>
      <w:r>
        <w:t xml:space="preserve">DESeq2’s</w:t>
      </w:r>
      <w:r>
        <w:t xml:space="preserve"> </w:t>
      </w:r>
      <w:r>
        <w:rPr>
          <w:rStyle w:val="VerbatimChar"/>
        </w:rPr>
        <w:t xml:space="preserve">lfcShrink()</w:t>
      </w:r>
      <w:r>
        <w:t xml:space="preserve"> </w:t>
      </w:r>
      <w:r>
        <w:t xml:space="preserve">function applies shrinkage to log₂ fold-change estimates. Explain (a) why shrinkage is necessary for lowly expressed genes, (b) the difference between</w:t>
      </w:r>
      <w:r>
        <w:t xml:space="preserve"> </w:t>
      </w:r>
      <w:r>
        <w:rPr>
          <w:rStyle w:val="VerbatimChar"/>
        </w:rPr>
        <w:t xml:space="preserve">type="apeglm"</w:t>
      </w:r>
      <w:r>
        <w:t xml:space="preserve"> </w:t>
      </w:r>
      <w:r>
        <w:t xml:space="preserve">and</w:t>
      </w:r>
      <w:r>
        <w:t xml:space="preserve"> </w:t>
      </w:r>
      <w:r>
        <w:rPr>
          <w:rStyle w:val="VerbatimChar"/>
        </w:rPr>
        <w:t xml:space="preserve">type="ashr"</w:t>
      </w:r>
      <w:r>
        <w:t xml:space="preserve">, and (c) why this course uses</w:t>
      </w:r>
      <w:r>
        <w:t xml:space="preserve"> </w:t>
      </w:r>
      <w:r>
        <w:rPr>
          <w:rStyle w:val="VerbatimChar"/>
        </w:rPr>
        <w:t xml:space="preserve">type="apeglm"</w:t>
      </w:r>
      <w:r>
        <w:t xml:space="preserve"> </w:t>
      </w:r>
      <w:r>
        <w:t xml:space="preserve">for single-coefficient comparisons (e.g., AD vs Control) but must switch to</w:t>
      </w:r>
      <w:r>
        <w:t xml:space="preserve"> </w:t>
      </w:r>
      <w:r>
        <w:rPr>
          <w:rStyle w:val="VerbatimChar"/>
        </w:rPr>
        <w:t xml:space="preserve">type="ashr"</w:t>
      </w:r>
      <w:r>
        <w:t xml:space="preserve"> </w:t>
      </w:r>
      <w:r>
        <w:t xml:space="preserve">for the AD vs MCI contrast. Include the relevant DESeq2 design formula logic in your answer.</w:t>
      </w:r>
    </w:p>
    <w:p>
      <w:r>
        <w:pict>
          <v:rect style="width:0;height:1.5pt" o:hralign="center" o:hrstd="t" o:hr="t"/>
        </w:pict>
      </w:r>
    </w:p>
    <w:bookmarkEnd w:id="20"/>
    <w:bookmarkStart w:id="21" w:name="question-2-c-multiple-testing-and-fdr"/>
    <w:p>
      <w:pPr>
        <w:pStyle w:val="Heading3"/>
      </w:pPr>
      <w:r>
        <w:t xml:space="preserve">Question 2 [C] — Multiple Testing and FDR</w:t>
      </w:r>
    </w:p>
    <w:p>
      <w:pPr>
        <w:pStyle w:val="FirstParagraph"/>
      </w:pPr>
      <w:r>
        <w:t xml:space="preserve">The Benjamini-Hochberg (BH) procedure is applied to control the False Discovery Rate at 5% in the Week 4 differential expression analysis.</w:t>
      </w:r>
    </w:p>
    <w:p>
      <w:pPr>
        <w:numPr>
          <w:ilvl w:val="0"/>
          <w:numId w:val="1001"/>
        </w:numPr>
        <w:pStyle w:val="Compact"/>
      </w:pPr>
      <w:r>
        <w:t xml:space="preserve">If you test 1,000 miRNAs and obtain 50 significant results at FDR &lt; 0.05, how many are expected to be false positives?</w:t>
      </w:r>
      <w:r>
        <w:br/>
      </w:r>
    </w:p>
    <w:p>
      <w:pPr>
        <w:numPr>
          <w:ilvl w:val="0"/>
          <w:numId w:val="1001"/>
        </w:numPr>
        <w:pStyle w:val="Compact"/>
      </w:pPr>
      <w:r>
        <w:t xml:space="preserve">If the raw p-value threshold of 0.05 were used without correction across 1,000 tests, how many false positives would you expect by chance?</w:t>
      </w:r>
      <w:r>
        <w:br/>
      </w:r>
    </w:p>
    <w:p>
      <w:pPr>
        <w:numPr>
          <w:ilvl w:val="0"/>
          <w:numId w:val="1001"/>
        </w:numPr>
        <w:pStyle w:val="Compact"/>
      </w:pPr>
      <w:r>
        <w:t xml:space="preserve">Explain intuitively why the BH procedure is preferred over the Bonferroni correction for miRNA expression studies.</w:t>
      </w:r>
    </w:p>
    <w:p>
      <w:r>
        <w:pict>
          <v:rect style="width:0;height:1.5pt" o:hralign="center" o:hrstd="t" o:hr="t"/>
        </w:pict>
      </w:r>
    </w:p>
    <w:bookmarkEnd w:id="21"/>
    <w:bookmarkStart w:id="22" w:name="Xe39b53c6bc178c157060e3f1c627547b2b25339"/>
    <w:p>
      <w:pPr>
        <w:pStyle w:val="Heading3"/>
      </w:pPr>
      <w:r>
        <w:t xml:space="preserve">Question 3 [C] — Feature Selection Strategy Comparison</w:t>
      </w:r>
    </w:p>
    <w:p>
      <w:pPr>
        <w:pStyle w:val="FirstParagraph"/>
      </w:pPr>
      <w:r>
        <w:t xml:space="preserve">Construct a comparison table of three feature selection strategies: (a) filter methods (e.g., Mann-Whitney U test), (b) wrapper methods (e.g., recursive feature elimination), and (c) embedded methods (e.g., LASSO). For each strategy, describe the selection mechanism, computational cost, risk of overfitting, and one advantage specific to miRNA biomarker discovery.</w:t>
      </w:r>
    </w:p>
    <w:p>
      <w:r>
        <w:pict>
          <v:rect style="width:0;height:1.5pt" o:hralign="center" o:hrstd="t" o:hr="t"/>
        </w:pict>
      </w:r>
    </w:p>
    <w:bookmarkEnd w:id="22"/>
    <w:bookmarkStart w:id="23" w:name="X9aa601dd8f4b018ba342f9a5a87847e5e4ccd1c"/>
    <w:p>
      <w:pPr>
        <w:pStyle w:val="Heading3"/>
      </w:pPr>
      <w:r>
        <w:t xml:space="preserve">Question 4 [C] — Clinical Prevalence and Predictive Values</w:t>
      </w:r>
    </w:p>
    <w:p>
      <w:pPr>
        <w:pStyle w:val="FirstParagraph"/>
      </w:pPr>
      <w:r>
        <w:t xml:space="preserve">A classifier for Alzheimer’s disease achieves sensitivity = 85% and specificity = 80% on a balanced research cohort (50% AD prevalence). Calculate the Positive Predictive Value (PPV) and Negative Predictive Value (NPV) at (a) 50% prevalence (research setting) and (b) 5% prevalence (general population memory clinic). Discuss the clinical implications of the difference for a physician considering ordering this test.</w:t>
      </w:r>
    </w:p>
    <w:p>
      <w:r>
        <w:pict>
          <v:rect style="width:0;height:1.5pt" o:hralign="center" o:hrstd="t" o:hr="t"/>
        </w:pict>
      </w:r>
    </w:p>
    <w:bookmarkEnd w:id="23"/>
    <w:bookmarkStart w:id="24" w:name="question-5-c-random-forest-mechanism"/>
    <w:p>
      <w:pPr>
        <w:pStyle w:val="Heading3"/>
      </w:pPr>
      <w:r>
        <w:t xml:space="preserve">Question 5 [C] — Random Forest Mechanism</w:t>
      </w:r>
    </w:p>
    <w:p>
      <w:pPr>
        <w:pStyle w:val="FirstParagraph"/>
      </w:pPr>
      <w:r>
        <w:t xml:space="preserve">Explain how Random Forest reduces the overfitting problem of a single decision tree through the mechanisms of bagging and feature subsampling. Specifically, describe (a) what bootstrap aggregation (bagging) achieves statistically, (b) why</w:t>
      </w:r>
      <w:r>
        <w:t xml:space="preserve"> </w:t>
      </w:r>
      <w:r>
        <w:rPr>
          <w:rStyle w:val="VerbatimChar"/>
        </w:rPr>
        <w:t xml:space="preserve">mtry = sqrt(p)</w:t>
      </w:r>
      <w:r>
        <w:t xml:space="preserve"> </w:t>
      </w:r>
      <w:r>
        <w:t xml:space="preserve">is the default for classification tasks, and (c) what the out-of-bag (OOB) error estimate measures and why it is useful when no separate validation set is available.</w:t>
      </w:r>
    </w:p>
    <w:p>
      <w:r>
        <w:pict>
          <v:rect style="width:0;height:1.5pt" o:hralign="center" o:hrstd="t" o:hr="t"/>
        </w:pict>
      </w:r>
    </w:p>
    <w:bookmarkEnd w:id="24"/>
    <w:bookmarkStart w:id="25" w:name="question-6-r-deseq2-ad-vs-control"/>
    <w:p>
      <w:pPr>
        <w:pStyle w:val="Heading3"/>
      </w:pPr>
      <w:r>
        <w:t xml:space="preserve">Question 6 [R] — DESeq2 AD vs Control</w:t>
      </w:r>
    </w:p>
    <w:p>
      <w:pPr>
        <w:pStyle w:val="FirstParagraph"/>
      </w:pPr>
      <w:r>
        <w:t xml:space="preserve">Run the DESeq2 analysis for the AD vs Control comparison in</w:t>
      </w:r>
      <w:r>
        <w:t xml:space="preserve"> </w:t>
      </w:r>
      <w:r>
        <w:rPr>
          <w:rStyle w:val="VerbatimChar"/>
        </w:rPr>
        <w:t xml:space="preserve">Week4_DE_FeatureSelection.R</w:t>
      </w:r>
      <w:r>
        <w:t xml:space="preserve">. Report:</w:t>
      </w:r>
    </w:p>
    <w:p>
      <w:pPr>
        <w:numPr>
          <w:ilvl w:val="0"/>
          <w:numId w:val="1002"/>
        </w:numPr>
        <w:pStyle w:val="Compact"/>
      </w:pPr>
      <w:r>
        <w:t xml:space="preserve">The total number of miRNAs tested</w:t>
      </w:r>
      <w:r>
        <w:br/>
      </w:r>
    </w:p>
    <w:p>
      <w:pPr>
        <w:numPr>
          <w:ilvl w:val="0"/>
          <w:numId w:val="1002"/>
        </w:numPr>
        <w:pStyle w:val="Compact"/>
      </w:pPr>
      <w:r>
        <w:t xml:space="preserve">The number of miRNAs significant at FDR &lt; 0.05 and |log₂FC| &gt; 1</w:t>
      </w:r>
      <w:r>
        <w:br/>
      </w:r>
    </w:p>
    <w:p>
      <w:pPr>
        <w:numPr>
          <w:ilvl w:val="0"/>
          <w:numId w:val="1002"/>
        </w:numPr>
        <w:pStyle w:val="Compact"/>
      </w:pPr>
      <w:r>
        <w:t xml:space="preserve">The number of significant miRNAs upregulated in AD and downregulated in AD</w:t>
      </w:r>
      <w:r>
        <w:br/>
      </w:r>
    </w:p>
    <w:p>
      <w:pPr>
        <w:numPr>
          <w:ilvl w:val="0"/>
          <w:numId w:val="1002"/>
        </w:numPr>
        <w:pStyle w:val="Compact"/>
      </w:pPr>
      <w:r>
        <w:t xml:space="preserve">The name of the top-ranked miRNA by adjusted p-value and its log₂FC</w:t>
      </w:r>
    </w:p>
    <w:p>
      <w:pPr>
        <w:pStyle w:val="FirstParagraph"/>
      </w:pPr>
      <w:r>
        <w:t xml:space="preserve">Convert the log₂FC of the top miRNA to a linear fold-change and state whether it is up- or down-regulated in AD.</w:t>
      </w:r>
    </w:p>
    <w:p>
      <w:r>
        <w:pict>
          <v:rect style="width:0;height:1.5pt" o:hralign="center" o:hrstd="t" o:hr="t"/>
        </w:pict>
      </w:r>
    </w:p>
    <w:bookmarkEnd w:id="25"/>
    <w:bookmarkStart w:id="26" w:name="question-7-r-progressive-comparisons"/>
    <w:p>
      <w:pPr>
        <w:pStyle w:val="Heading3"/>
      </w:pPr>
      <w:r>
        <w:t xml:space="preserve">Question 7 [R] — Progressive Comparisons</w:t>
      </w:r>
    </w:p>
    <w:p>
      <w:pPr>
        <w:pStyle w:val="FirstParagraph"/>
      </w:pPr>
      <w:r>
        <w:t xml:space="preserve">Run the MCI vs Control and AD vs MCI comparisons. Report the number of significant miRNAs (FDR &lt; 0.05, |log₂FC| &gt; 0.5) for each comparison. Then identify:</w:t>
      </w:r>
    </w:p>
    <w:p>
      <w:pPr>
        <w:numPr>
          <w:ilvl w:val="0"/>
          <w:numId w:val="1003"/>
        </w:numPr>
        <w:pStyle w:val="Compact"/>
      </w:pPr>
      <w:r>
        <w:t xml:space="preserve">miRNAs that are significant in both AD vs Control AND MCI vs Control (early-changing markers)</w:t>
      </w:r>
      <w:r>
        <w:br/>
      </w:r>
    </w:p>
    <w:p>
      <w:pPr>
        <w:numPr>
          <w:ilvl w:val="0"/>
          <w:numId w:val="1003"/>
        </w:numPr>
        <w:pStyle w:val="Compact"/>
      </w:pPr>
      <w:r>
        <w:t xml:space="preserve">miRNAs that are significant only in AD vs Control but not in MCI vs Control (late-changing markers)</w:t>
      </w:r>
    </w:p>
    <w:p>
      <w:pPr>
        <w:pStyle w:val="FirstParagraph"/>
      </w:pPr>
      <w:r>
        <w:t xml:space="preserve">List up to three miRNAs in each category and state their direction of change.</w:t>
      </w:r>
    </w:p>
    <w:p>
      <w:r>
        <w:pict>
          <v:rect style="width:0;height:1.5pt" o:hralign="center" o:hrstd="t" o:hr="t"/>
        </w:pict>
      </w:r>
    </w:p>
    <w:bookmarkEnd w:id="26"/>
    <w:bookmarkStart w:id="27" w:name="X413592143794a313de5b3278f97c428350ec7be"/>
    <w:p>
      <w:pPr>
        <w:pStyle w:val="Heading3"/>
      </w:pPr>
      <w:r>
        <w:t xml:space="preserve">Question 8 [R] — limma Cross-Platform Replication</w:t>
      </w:r>
    </w:p>
    <w:p>
      <w:pPr>
        <w:pStyle w:val="FirstParagraph"/>
      </w:pPr>
      <w:r>
        <w:t xml:space="preserve">Run the limma analysis on the GSE46579 microarray dataset. Report:</w:t>
      </w:r>
    </w:p>
    <w:p>
      <w:pPr>
        <w:numPr>
          <w:ilvl w:val="0"/>
          <w:numId w:val="1004"/>
        </w:numPr>
        <w:pStyle w:val="Compact"/>
      </w:pPr>
      <w:r>
        <w:t xml:space="preserve">The number of miRNAs significant at FDR &lt; 0.05 in the limma analysis</w:t>
      </w:r>
      <w:r>
        <w:br/>
      </w:r>
    </w:p>
    <w:p>
      <w:pPr>
        <w:numPr>
          <w:ilvl w:val="0"/>
          <w:numId w:val="1004"/>
        </w:numPr>
        <w:pStyle w:val="Compact"/>
      </w:pPr>
      <w:r>
        <w:t xml:space="preserve">The number of miRNAs that overlap with the DESeq2 AD vs Control significant list</w:t>
      </w:r>
      <w:r>
        <w:br/>
      </w:r>
    </w:p>
    <w:p>
      <w:pPr>
        <w:numPr>
          <w:ilvl w:val="0"/>
          <w:numId w:val="1004"/>
        </w:numPr>
        <w:pStyle w:val="Compact"/>
      </w:pPr>
      <w:r>
        <w:t xml:space="preserve">For the overlapping miRNAs, what fraction show concordant direction of change (same up/down in both datasets)?</w:t>
      </w:r>
    </w:p>
    <w:p>
      <w:pPr>
        <w:pStyle w:val="FirstParagraph"/>
      </w:pPr>
      <w:r>
        <w:t xml:space="preserve">A low concordance rate would suggest what potential problem with one or both analyses?</w:t>
      </w:r>
    </w:p>
    <w:p>
      <w:r>
        <w:pict>
          <v:rect style="width:0;height:1.5pt" o:hralign="center" o:hrstd="t" o:hr="t"/>
        </w:pict>
      </w:r>
    </w:p>
    <w:bookmarkEnd w:id="27"/>
    <w:bookmarkStart w:id="28" w:name="question-9-r-consensus-feature-table"/>
    <w:p>
      <w:pPr>
        <w:pStyle w:val="Heading3"/>
      </w:pPr>
      <w:r>
        <w:t xml:space="preserve">Question 9 [R] — Consensus Feature Table</w:t>
      </w:r>
    </w:p>
    <w:p>
      <w:pPr>
        <w:pStyle w:val="FirstParagraph"/>
      </w:pPr>
      <w:r>
        <w:t xml:space="preserve">The script computes a consensus feature list from the top-ranked miRNAs across DESeq2, limma, and the Mann-Whitney filter. Report:</w:t>
      </w:r>
    </w:p>
    <w:p>
      <w:pPr>
        <w:numPr>
          <w:ilvl w:val="0"/>
          <w:numId w:val="1005"/>
        </w:numPr>
        <w:pStyle w:val="Compact"/>
      </w:pPr>
      <w:r>
        <w:t xml:space="preserve">The names of all miRNAs that appear in the top 20 of all three ranking methods</w:t>
      </w:r>
      <w:r>
        <w:br/>
      </w:r>
    </w:p>
    <w:p>
      <w:pPr>
        <w:numPr>
          <w:ilvl w:val="0"/>
          <w:numId w:val="1005"/>
        </w:numPr>
        <w:pStyle w:val="Compact"/>
      </w:pPr>
      <w:r>
        <w:t xml:space="preserve">For each consensus miRNA, its log₂FC in AD vs Control (DESeq2) and its limma t-statistic</w:t>
      </w:r>
      <w:r>
        <w:br/>
      </w:r>
    </w:p>
    <w:p>
      <w:pPr>
        <w:numPr>
          <w:ilvl w:val="0"/>
          <w:numId w:val="1005"/>
        </w:numPr>
        <w:pStyle w:val="Compact"/>
      </w:pPr>
      <w:r>
        <w:t xml:space="preserve">Retrieve the biological annotation for the top consensus miRNA from miRBase and describe its known function in one sentence</w:t>
      </w:r>
    </w:p>
    <w:p>
      <w:r>
        <w:pict>
          <v:rect style="width:0;height:1.5pt" o:hralign="center" o:hrstd="t" o:hr="t"/>
        </w:pict>
      </w:r>
    </w:p>
    <w:bookmarkEnd w:id="28"/>
    <w:bookmarkStart w:id="29" w:name="Xe0bfb3b58ee38076c7f2eb921670853ac90adc0"/>
    <w:p>
      <w:pPr>
        <w:pStyle w:val="Heading3"/>
      </w:pPr>
      <w:r>
        <w:t xml:space="preserve">Question 10 [R] — Volcano Plot Interpretation</w:t>
      </w:r>
    </w:p>
    <w:p>
      <w:pPr>
        <w:pStyle w:val="FirstParagraph"/>
      </w:pPr>
      <w:r>
        <w:t xml:space="preserve">Inspect the volcano plot generated for the AD vs Control comparison. Report:</w:t>
      </w:r>
    </w:p>
    <w:p>
      <w:pPr>
        <w:numPr>
          <w:ilvl w:val="0"/>
          <w:numId w:val="1006"/>
        </w:numPr>
        <w:pStyle w:val="Compact"/>
      </w:pPr>
      <w:r>
        <w:t xml:space="preserve">The names of the labelled miRNAs in the plot</w:t>
      </w:r>
      <w:r>
        <w:br/>
      </w:r>
    </w:p>
    <w:p>
      <w:pPr>
        <w:numPr>
          <w:ilvl w:val="0"/>
          <w:numId w:val="1006"/>
        </w:numPr>
        <w:pStyle w:val="Compact"/>
      </w:pPr>
      <w:r>
        <w:t xml:space="preserve">How many of these labelled miRNAs were mentioned in the Week 1 lecture’s known AD-associated miRNA table</w:t>
      </w:r>
      <w:r>
        <w:br/>
      </w:r>
    </w:p>
    <w:p>
      <w:pPr>
        <w:numPr>
          <w:ilvl w:val="0"/>
          <w:numId w:val="1006"/>
        </w:numPr>
        <w:pStyle w:val="Compact"/>
      </w:pPr>
      <w:r>
        <w:t xml:space="preserve">Identify at least one miRNA in the significant region of the plot that was NOT highlighted in Week 1 — this is a potential novel candidate</w:t>
      </w:r>
    </w:p>
    <w:p>
      <w:pPr>
        <w:pStyle w:val="FirstParagraph"/>
      </w:pPr>
      <w:r>
        <w:t xml:space="preserve">Verify that all labelled miRNAs in the upregulated quadrant have both log₂FC &gt; 1 AND adjusted p-value &lt; 0.05.</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2026-05-21T12:54:52Z</dcterms:created>
  <dcterms:modified xsi:type="dcterms:W3CDTF">2026-05-21T12:54:52Z</dcterms:modified>
</cp:coreProperties>
</file>

<file path=docProps/custom.xml><?xml version="1.0" encoding="utf-8"?>
<Properties xmlns="http://schemas.openxmlformats.org/officeDocument/2006/custom-properties" xmlns:vt="http://schemas.openxmlformats.org/officeDocument/2006/docPropsVTypes"/>
</file>