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Exercicio03.R</w:t>
      </w:r>
    </w:p>
    <w:p>
      <w:pPr>
        <w:pStyle w:val="Author"/>
        <w:rPr/>
      </w:pPr>
      <w:r>
        <w:rPr/>
        <w:t>Guilherme Ricci Machado Villela</w:t>
      </w:r>
    </w:p>
    <w:p>
      <w:pPr>
        <w:pStyle w:val="Date"/>
        <w:rPr/>
      </w:pPr>
      <w:r>
        <w:rPr/>
        <w:t>2026-04-11</w:t>
      </w:r>
    </w:p>
    <w:p>
      <w:pPr>
        <w:pStyle w:val="SourceCode"/>
        <w:rPr/>
      </w:pPr>
      <w:r>
        <w:rPr>
          <w:rStyle w:val="CommentTok"/>
        </w:rPr>
        <w:t># ==========================================================</w:t>
      </w:r>
      <w:r>
        <w:rPr/>
        <w:br/>
      </w:r>
      <w:r>
        <w:rPr>
          <w:rStyle w:val="CommentTok"/>
        </w:rPr>
        <w:t># EXERCÍCIO 03: Análise de dados: dados_alunos.csv</w:t>
      </w:r>
      <w:r>
        <w:rPr/>
        <w:br/>
      </w:r>
      <w:r>
        <w:rPr>
          <w:rStyle w:val="CommentTok"/>
        </w:rPr>
        <w:t># Autor: Guilherme Ricci Machado Villela</w:t>
      </w:r>
      <w:r>
        <w:rPr/>
        <w:br/>
      </w:r>
      <w:r>
        <w:rPr>
          <w:rStyle w:val="CommentTok"/>
        </w:rPr>
        <w:t># ==========================================================</w:t>
      </w:r>
      <w:r>
        <w:rPr/>
        <w:br/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rPr>
          <w:rStyle w:val="FunctionTok"/>
        </w:rPr>
        <w:br/>
        <w:t>library</w:t>
      </w:r>
      <w:r>
        <w:rPr>
          <w:rStyle w:val="NormalTok"/>
        </w:rPr>
        <w:t>(ggplot2)</w:t>
      </w:r>
      <w:r>
        <w:rPr/>
        <w:br/>
        <w:br/>
      </w:r>
      <w:r>
        <w:rPr>
          <w:rStyle w:val="CommentTok"/>
        </w:rPr>
        <w:t># 1. LEITURA DOS DADOS</w:t>
      </w:r>
      <w:r>
        <w:rPr/>
        <w:br/>
      </w:r>
      <w:r>
        <w:rPr>
          <w:rStyle w:val="NormalTok"/>
        </w:rPr>
        <w:t xml:space="preserve">base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read.csv2</w:t>
      </w:r>
      <w:r>
        <w:rPr>
          <w:rStyle w:val="NormalTok"/>
        </w:rPr>
        <w:t>(</w:t>
      </w:r>
      <w:r>
        <w:rPr>
          <w:rStyle w:val="StringTok"/>
        </w:rPr>
        <w:t>"dados_alunos.csv"</w:t>
      </w:r>
      <w:r>
        <w:rPr>
          <w:rStyle w:val="NormalTok"/>
        </w:rPr>
        <w:t>)</w:t>
      </w:r>
      <w:r>
        <w:rPr/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15032006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base1 </w:t>
      </w:r>
      <w:r>
        <w:rPr>
          <w:rStyle w:val="OtherTok"/>
        </w:rPr>
        <w:t>&lt;-</w:t>
      </w:r>
      <w:r>
        <w:rPr>
          <w:rStyle w:val="NormalTok"/>
        </w:rPr>
        <w:t xml:space="preserve"> base[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(base), </w:t>
      </w:r>
      <w:r>
        <w:rPr>
          <w:rStyle w:val="DecValTok"/>
        </w:rPr>
        <w:t>90</w:t>
      </w:r>
      <w:r>
        <w:rPr>
          <w:rStyle w:val="NormalTok"/>
        </w:rPr>
        <w:t>), ]</w:t>
      </w:r>
      <w:r>
        <w:rPr/>
        <w:br/>
        <w:br/>
      </w:r>
      <w:r>
        <w:rPr>
          <w:rStyle w:val="CommentTok"/>
        </w:rPr>
        <w:t># 2. AJUSTE DAS VARIÁVEIS CATEGÓRICAS</w:t>
      </w:r>
      <w:r>
        <w:rPr/>
        <w:br/>
      </w:r>
      <w:r>
        <w:rPr>
          <w:rStyle w:val="NormalTok"/>
        </w:rPr>
        <w:t>base1</w:t>
      </w:r>
      <w:r>
        <w:rPr>
          <w:rStyle w:val="SpecialCharTok"/>
        </w:rPr>
        <w:t>$</w:t>
      </w:r>
      <w:r>
        <w:rPr>
          <w:rStyle w:val="NormalTok"/>
        </w:rPr>
        <w:t xml:space="preserve">Sexo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base1</w:t>
      </w:r>
      <w:r>
        <w:rPr>
          <w:rStyle w:val="SpecialCharTok"/>
        </w:rPr>
        <w:t>$</w:t>
      </w:r>
      <w:r>
        <w:rPr>
          <w:rStyle w:val="NormalTok"/>
        </w:rPr>
        <w:t>Sexo,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"Masculino"</w:t>
      </w:r>
      <w:r>
        <w:rPr>
          <w:rStyle w:val="NormalTok"/>
        </w:rPr>
        <w:t xml:space="preserve">, </w:t>
      </w:r>
      <w:r>
        <w:rPr>
          <w:rStyle w:val="StringTok"/>
        </w:rPr>
        <w:t>"Feminino"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>base1</w:t>
      </w:r>
      <w:r>
        <w:rPr>
          <w:rStyle w:val="SpecialCharTok"/>
        </w:rPr>
        <w:t>$</w:t>
      </w:r>
      <w:r>
        <w:rPr>
          <w:rStyle w:val="NormalTok"/>
        </w:rPr>
        <w:t xml:space="preserve">Escola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base1</w:t>
      </w:r>
      <w:r>
        <w:rPr>
          <w:rStyle w:val="SpecialCharTok"/>
        </w:rPr>
        <w:t>$</w:t>
      </w:r>
      <w:r>
        <w:rPr>
          <w:rStyle w:val="NormalTok"/>
        </w:rPr>
        <w:t>Escola,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"Publica"</w:t>
      </w:r>
      <w:r>
        <w:rPr>
          <w:rStyle w:val="NormalTok"/>
        </w:rPr>
        <w:t xml:space="preserve">, </w:t>
      </w:r>
      <w:r>
        <w:rPr>
          <w:rStyle w:val="StringTok"/>
        </w:rPr>
        <w:t>"Particular"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3. CORREÇÃO DA ALTURA (caso esteja em cm)</w:t>
      </w:r>
      <w:r>
        <w:rPr/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mean</w:t>
      </w:r>
      <w:r>
        <w:rPr>
          <w:rStyle w:val="NormalTok"/>
        </w:rPr>
        <w:t>(base1</w:t>
      </w:r>
      <w:r>
        <w:rPr>
          <w:rStyle w:val="SpecialCharTok"/>
        </w:rPr>
        <w:t>$</w:t>
      </w:r>
      <w:r>
        <w:rPr>
          <w:rStyle w:val="NormalTok"/>
        </w:rPr>
        <w:t xml:space="preserve">Altura,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base1</w:t>
      </w:r>
      <w:r>
        <w:rPr>
          <w:rStyle w:val="SpecialCharTok"/>
        </w:rPr>
        <w:t>$</w:t>
      </w:r>
      <w:r>
        <w:rPr>
          <w:rStyle w:val="NormalTok"/>
        </w:rPr>
        <w:t xml:space="preserve">Altura </w:t>
      </w:r>
      <w:r>
        <w:rPr>
          <w:rStyle w:val="OtherTok"/>
        </w:rPr>
        <w:t>&lt;-</w:t>
      </w:r>
      <w:r>
        <w:rPr>
          <w:rStyle w:val="NormalTok"/>
        </w:rPr>
        <w:t xml:space="preserve"> base1</w:t>
      </w:r>
      <w:r>
        <w:rPr>
          <w:rStyle w:val="SpecialCharTok"/>
        </w:rPr>
        <w:t>$</w:t>
      </w:r>
      <w:r>
        <w:rPr>
          <w:rStyle w:val="NormalTok"/>
        </w:rPr>
        <w:t xml:space="preserve">Altura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CommentTok"/>
        </w:rPr>
        <w:t># 4. CRIAÇÃO DO IMC</w:t>
      </w:r>
      <w:r>
        <w:rPr/>
        <w:br/>
      </w:r>
      <w:r>
        <w:rPr>
          <w:rStyle w:val="NormalTok"/>
        </w:rPr>
        <w:t>base1</w:t>
      </w:r>
      <w:r>
        <w:rPr>
          <w:rStyle w:val="SpecialCharTok"/>
        </w:rPr>
        <w:t>$</w:t>
      </w:r>
      <w:r>
        <w:rPr>
          <w:rStyle w:val="NormalTok"/>
        </w:rPr>
        <w:t xml:space="preserve">imc </w:t>
      </w:r>
      <w:r>
        <w:rPr>
          <w:rStyle w:val="OtherTok"/>
        </w:rPr>
        <w:t>&lt;-</w:t>
      </w:r>
      <w:r>
        <w:rPr>
          <w:rStyle w:val="NormalTok"/>
        </w:rPr>
        <w:t xml:space="preserve"> base1</w:t>
      </w:r>
      <w:r>
        <w:rPr>
          <w:rStyle w:val="SpecialCharTok"/>
        </w:rPr>
        <w:t>$</w:t>
      </w:r>
      <w:r>
        <w:rPr>
          <w:rStyle w:val="NormalTok"/>
        </w:rPr>
        <w:t xml:space="preserve">Peso </w:t>
      </w:r>
      <w:r>
        <w:rPr>
          <w:rStyle w:val="SpecialCharTok"/>
        </w:rPr>
        <w:t>/</w:t>
      </w:r>
      <w:r>
        <w:rPr>
          <w:rStyle w:val="NormalTok"/>
        </w:rPr>
        <w:t xml:space="preserve"> (base1</w:t>
      </w:r>
      <w:r>
        <w:rPr>
          <w:rStyle w:val="SpecialCharTok"/>
        </w:rPr>
        <w:t>$</w:t>
      </w:r>
      <w:r>
        <w:rPr>
          <w:rStyle w:val="NormalTok"/>
        </w:rPr>
        <w:t>Altura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># Função coeficiente de variação</w:t>
      </w:r>
      <w:r>
        <w:rPr/>
        <w:br/>
      </w:r>
      <w:r>
        <w:rPr>
          <w:rStyle w:val="NormalTok"/>
        </w:rPr>
        <w:t xml:space="preserve">cv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sd</w:t>
      </w:r>
      <w:r>
        <w:rPr>
          <w:rStyle w:val="NormalTok"/>
        </w:rPr>
        <w:t xml:space="preserve">(x,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}</w:t>
      </w:r>
      <w:r>
        <w:rPr/>
        <w:br/>
        <w:br/>
      </w:r>
      <w:r>
        <w:rPr>
          <w:rStyle w:val="CommentTok"/>
        </w:rPr>
        <w:t># ==========================================================</w:t>
      </w:r>
      <w:r>
        <w:rPr/>
        <w:br/>
      </w:r>
      <w:r>
        <w:rPr>
          <w:rStyle w:val="CommentTok"/>
        </w:rPr>
        <w:t># 4a) IMC por Sexo</w:t>
      </w:r>
      <w:r>
        <w:rPr/>
        <w:br/>
      </w:r>
      <w:r>
        <w:rPr>
          <w:rStyle w:val="NormalTok"/>
        </w:rPr>
        <w:t xml:space="preserve">res_imc </w:t>
      </w:r>
      <w:r>
        <w:rPr>
          <w:rStyle w:val="OtherTok"/>
        </w:rPr>
        <w:t>&lt;-</w:t>
      </w:r>
      <w:r>
        <w:rPr>
          <w:rStyle w:val="NormalTok"/>
        </w:rPr>
        <w:t xml:space="preserve"> base1 </w:t>
      </w:r>
      <w:r>
        <w:rPr>
          <w:rStyle w:val="SpecialCharTok"/>
        </w:rPr>
        <w:t>|&gt;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(Sexo) </w:t>
      </w:r>
      <w:r>
        <w:rPr>
          <w:rStyle w:val="SpecialCharTok"/>
        </w:rPr>
        <w:t>|&gt;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media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(imc,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desvio_padrao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(imc,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cv =</w:t>
      </w:r>
      <w:r>
        <w:rPr>
          <w:rStyle w:val="NormalTok"/>
        </w:rPr>
        <w:t xml:space="preserve"> </w:t>
      </w:r>
      <w:r>
        <w:rPr>
          <w:rStyle w:val="FunctionTok"/>
        </w:rPr>
        <w:t>cv</w:t>
      </w:r>
      <w:r>
        <w:rPr>
          <w:rStyle w:val="NormalTok"/>
        </w:rPr>
        <w:t>(imc)</w:t>
      </w:r>
      <w:r>
        <w:rPr/>
        <w:br/>
      </w:r>
      <w:r>
        <w:rPr>
          <w:rStyle w:val="NormalTok"/>
        </w:rPr>
        <w:t xml:space="preserve">  )</w:t>
      </w:r>
      <w:r>
        <w:rPr/>
        <w:br/>
        <w:br/>
      </w:r>
      <w:r>
        <w:rPr>
          <w:rStyle w:val="FunctionTok"/>
        </w:rPr>
        <w:t>print</w:t>
      </w:r>
      <w:r>
        <w:rPr>
          <w:rStyle w:val="NormalTok"/>
        </w:rPr>
        <w:t>(res_imc)</w:t>
      </w:r>
    </w:p>
    <w:p>
      <w:pPr>
        <w:pStyle w:val="SourceCode"/>
        <w:rPr/>
      </w:pPr>
      <w:r>
        <w:rPr>
          <w:rStyle w:val="VerbatimChar"/>
        </w:rPr>
        <w:t>## # A tibble: 2 × 4</w:t>
      </w:r>
      <w:r>
        <w:rPr/>
        <w:br/>
      </w:r>
      <w:r>
        <w:rPr>
          <w:rStyle w:val="VerbatimChar"/>
        </w:rPr>
        <w:t>##   Sexo       media desvio_padrao    cv</w:t>
      </w:r>
      <w:r>
        <w:rPr/>
        <w:br/>
      </w:r>
      <w:r>
        <w:rPr>
          <w:rStyle w:val="VerbatimChar"/>
        </w:rPr>
        <w:t>##   &lt;fct&gt;      &lt;dbl&gt;         &lt;dbl&gt; &lt;dbl&gt;</w:t>
      </w:r>
      <w:r>
        <w:rPr/>
        <w:br/>
      </w:r>
      <w:r>
        <w:rPr>
          <w:rStyle w:val="VerbatimChar"/>
        </w:rPr>
        <w:t xml:space="preserve">## 1 Masculino 3485.       24990.   7.17 </w:t>
      </w:r>
      <w:r>
        <w:rPr/>
        <w:br/>
      </w:r>
      <w:r>
        <w:rPr>
          <w:rStyle w:val="VerbatimChar"/>
        </w:rPr>
        <w:t>## 2 Feminino    19.2          2.86 0.149</w:t>
      </w:r>
    </w:p>
    <w:p>
      <w:pPr>
        <w:pStyle w:val="SourceCode"/>
        <w:rPr/>
      </w:pPr>
      <w:r>
        <w:rPr>
          <w:rStyle w:val="CommentTok"/>
        </w:rPr>
        <w:t># 4b) TR por Sexo</w:t>
      </w:r>
      <w:r>
        <w:rPr/>
        <w:br/>
      </w:r>
      <w:r>
        <w:rPr>
          <w:rStyle w:val="NormalTok"/>
        </w:rPr>
        <w:t xml:space="preserve">res_tr </w:t>
      </w:r>
      <w:r>
        <w:rPr>
          <w:rStyle w:val="OtherTok"/>
        </w:rPr>
        <w:t>&lt;-</w:t>
      </w:r>
      <w:r>
        <w:rPr>
          <w:rStyle w:val="NormalTok"/>
        </w:rPr>
        <w:t xml:space="preserve"> base1 </w:t>
      </w:r>
      <w:r>
        <w:rPr>
          <w:rStyle w:val="SpecialCharTok"/>
        </w:rPr>
        <w:t>|&gt;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(Sexo) </w:t>
      </w:r>
      <w:r>
        <w:rPr>
          <w:rStyle w:val="SpecialCharTok"/>
        </w:rPr>
        <w:t>|&gt;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media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(TR,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desvio_padrao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(TR,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cv =</w:t>
      </w:r>
      <w:r>
        <w:rPr>
          <w:rStyle w:val="NormalTok"/>
        </w:rPr>
        <w:t xml:space="preserve"> </w:t>
      </w:r>
      <w:r>
        <w:rPr>
          <w:rStyle w:val="FunctionTok"/>
        </w:rPr>
        <w:t>cv</w:t>
      </w:r>
      <w:r>
        <w:rPr>
          <w:rStyle w:val="NormalTok"/>
        </w:rPr>
        <w:t>(TR)</w:t>
      </w:r>
      <w:r>
        <w:rPr/>
        <w:br/>
      </w:r>
      <w:r>
        <w:rPr>
          <w:rStyle w:val="NormalTok"/>
        </w:rPr>
        <w:t xml:space="preserve">  )</w:t>
      </w:r>
      <w:r>
        <w:rPr/>
        <w:br/>
        <w:br/>
      </w:r>
      <w:r>
        <w:rPr>
          <w:rStyle w:val="FunctionTok"/>
        </w:rPr>
        <w:t>print</w:t>
      </w:r>
      <w:r>
        <w:rPr>
          <w:rStyle w:val="NormalTok"/>
        </w:rPr>
        <w:t>(res_tr)</w:t>
      </w:r>
    </w:p>
    <w:p>
      <w:pPr>
        <w:pStyle w:val="SourceCode"/>
        <w:rPr/>
      </w:pPr>
      <w:r>
        <w:rPr>
          <w:rStyle w:val="VerbatimChar"/>
        </w:rPr>
        <w:t>## # A tibble: 2 × 4</w:t>
      </w:r>
      <w:r>
        <w:rPr/>
        <w:br/>
      </w:r>
      <w:r>
        <w:rPr>
          <w:rStyle w:val="VerbatimChar"/>
        </w:rPr>
        <w:t>##   Sexo      media desvio_padrao    cv</w:t>
      </w:r>
      <w:r>
        <w:rPr/>
        <w:br/>
      </w:r>
      <w:r>
        <w:rPr>
          <w:rStyle w:val="VerbatimChar"/>
        </w:rPr>
        <w:t>##   &lt;fct&gt;     &lt;dbl&gt;         &lt;dbl&gt; &lt;dbl&gt;</w:t>
      </w:r>
      <w:r>
        <w:rPr/>
        <w:br/>
      </w:r>
      <w:r>
        <w:rPr>
          <w:rStyle w:val="VerbatimChar"/>
        </w:rPr>
        <w:t>## 1 Masculino  9.88          4.69 0.474</w:t>
      </w:r>
      <w:r>
        <w:rPr/>
        <w:br/>
      </w:r>
      <w:r>
        <w:rPr>
          <w:rStyle w:val="VerbatimChar"/>
        </w:rPr>
        <w:t>## 2 Feminino  14.4           4.73 0.328</w:t>
      </w:r>
    </w:p>
    <w:p>
      <w:pPr>
        <w:pStyle w:val="SourceCode"/>
        <w:rPr/>
      </w:pPr>
      <w:r>
        <w:rPr>
          <w:rStyle w:val="CommentTok"/>
        </w:rPr>
        <w:t># 4c) SB por Escola</w:t>
      </w:r>
      <w:r>
        <w:rPr/>
        <w:br/>
      </w:r>
      <w:r>
        <w:rPr>
          <w:rStyle w:val="NormalTok"/>
        </w:rPr>
        <w:t xml:space="preserve">res_sb </w:t>
      </w:r>
      <w:r>
        <w:rPr>
          <w:rStyle w:val="OtherTok"/>
        </w:rPr>
        <w:t>&lt;-</w:t>
      </w:r>
      <w:r>
        <w:rPr>
          <w:rStyle w:val="NormalTok"/>
        </w:rPr>
        <w:t xml:space="preserve"> base1 </w:t>
      </w:r>
      <w:r>
        <w:rPr>
          <w:rStyle w:val="SpecialCharTok"/>
        </w:rPr>
        <w:t>|&gt;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(Escola) </w:t>
      </w:r>
      <w:r>
        <w:rPr>
          <w:rStyle w:val="SpecialCharTok"/>
        </w:rPr>
        <w:t>|&gt;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media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(SB,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desvio_padrao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(SB,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cv =</w:t>
      </w:r>
      <w:r>
        <w:rPr>
          <w:rStyle w:val="NormalTok"/>
        </w:rPr>
        <w:t xml:space="preserve"> </w:t>
      </w:r>
      <w:r>
        <w:rPr>
          <w:rStyle w:val="FunctionTok"/>
        </w:rPr>
        <w:t>cv</w:t>
      </w:r>
      <w:r>
        <w:rPr>
          <w:rStyle w:val="NormalTok"/>
        </w:rPr>
        <w:t>(SB)</w:t>
      </w:r>
      <w:r>
        <w:rPr/>
        <w:br/>
      </w:r>
      <w:r>
        <w:rPr>
          <w:rStyle w:val="NormalTok"/>
        </w:rPr>
        <w:t xml:space="preserve">  )</w:t>
      </w:r>
      <w:r>
        <w:rPr/>
        <w:br/>
        <w:br/>
      </w:r>
      <w:r>
        <w:rPr>
          <w:rStyle w:val="FunctionTok"/>
        </w:rPr>
        <w:t>print</w:t>
      </w:r>
      <w:r>
        <w:rPr>
          <w:rStyle w:val="NormalTok"/>
        </w:rPr>
        <w:t>(res_sb)</w:t>
      </w:r>
    </w:p>
    <w:p>
      <w:pPr>
        <w:pStyle w:val="SourceCode"/>
        <w:rPr/>
      </w:pPr>
      <w:r>
        <w:rPr>
          <w:rStyle w:val="VerbatimChar"/>
        </w:rPr>
        <w:t>## # A tibble: 2 × 4</w:t>
      </w:r>
      <w:r>
        <w:rPr/>
        <w:br/>
      </w:r>
      <w:r>
        <w:rPr>
          <w:rStyle w:val="VerbatimChar"/>
        </w:rPr>
        <w:t>##   Escola     media desvio_padrao    cv</w:t>
      </w:r>
      <w:r>
        <w:rPr/>
        <w:br/>
      </w:r>
      <w:r>
        <w:rPr>
          <w:rStyle w:val="VerbatimChar"/>
        </w:rPr>
        <w:t>##   &lt;fct&gt;      &lt;dbl&gt;         &lt;dbl&gt; &lt;dbl&gt;</w:t>
      </w:r>
      <w:r>
        <w:rPr/>
        <w:br/>
      </w:r>
      <w:r>
        <w:rPr>
          <w:rStyle w:val="VerbatimChar"/>
        </w:rPr>
        <w:t>## 1 Publica     9.27          4.08 0.440</w:t>
      </w:r>
      <w:r>
        <w:rPr/>
        <w:br/>
      </w:r>
      <w:r>
        <w:rPr>
          <w:rStyle w:val="VerbatimChar"/>
        </w:rPr>
        <w:t>## 2 Particular  9.24          4.90 0.531</w:t>
      </w:r>
    </w:p>
    <w:p>
      <w:pPr>
        <w:pStyle w:val="SourceCode"/>
        <w:rPr/>
      </w:pPr>
      <w:r>
        <w:rPr>
          <w:rStyle w:val="CommentTok"/>
        </w:rPr>
        <w:t># ==========================================================</w:t>
      </w:r>
      <w:r>
        <w:rPr/>
        <w:br/>
      </w:r>
      <w:r>
        <w:rPr>
          <w:rStyle w:val="CommentTok"/>
        </w:rPr>
        <w:t># 5. GRÁFICOS DE VARIABILIDADE (DENSIDADE)</w:t>
      </w:r>
      <w:r>
        <w:rPr/>
        <w:br/>
        <w:br/>
      </w:r>
      <w:r>
        <w:rPr>
          <w:rStyle w:val="CommentTok"/>
        </w:rPr>
        <w:t># IMC por sexo</w:t>
      </w:r>
      <w:r>
        <w:rPr/>
        <w:br/>
      </w:r>
      <w:r>
        <w:rPr>
          <w:rStyle w:val="FunctionTok"/>
        </w:rPr>
        <w:t>ggplot</w:t>
      </w:r>
      <w:r>
        <w:rPr>
          <w:rStyle w:val="NormalTok"/>
        </w:rPr>
        <w:t xml:space="preserve">(base1,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imc, </w:t>
      </w:r>
      <w:r>
        <w:rPr>
          <w:rStyle w:val="AttributeTok"/>
        </w:rPr>
        <w:t>fill =</w:t>
      </w:r>
      <w:r>
        <w:rPr>
          <w:rStyle w:val="NormalTok"/>
        </w:rPr>
        <w:t xml:space="preserve"> Sexo))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geom_density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"Distribuição do IMC por Sexo"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>
      <w:pPr>
        <w:pStyle w:val="FirstParagraph"/>
        <w:rPr/>
      </w:pPr>
      <w:r>
        <w:rPr/>
        <w:drawing>
          <wp:inline distT="0" distB="0" distL="0" distR="0">
            <wp:extent cx="4620260" cy="3696335"/>
            <wp:effectExtent l="0" t="0" r="0" b="0"/>
            <wp:docPr id="1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60" cy="369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rceCode"/>
        <w:rPr/>
      </w:pPr>
      <w:r>
        <w:rPr>
          <w:rStyle w:val="CommentTok"/>
        </w:rPr>
        <w:t># TR por sexo</w:t>
      </w:r>
      <w:r>
        <w:rPr/>
        <w:br/>
      </w:r>
      <w:r>
        <w:rPr>
          <w:rStyle w:val="FunctionTok"/>
        </w:rPr>
        <w:t>ggplot</w:t>
      </w:r>
      <w:r>
        <w:rPr>
          <w:rStyle w:val="NormalTok"/>
        </w:rPr>
        <w:t xml:space="preserve">(base1,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TR, </w:t>
      </w:r>
      <w:r>
        <w:rPr>
          <w:rStyle w:val="AttributeTok"/>
        </w:rPr>
        <w:t>fill =</w:t>
      </w:r>
      <w:r>
        <w:rPr>
          <w:rStyle w:val="NormalTok"/>
        </w:rPr>
        <w:t xml:space="preserve"> Sexo))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</w:t>
      </w:r>
      <w:r>
        <w:rPr>
          <w:rStyle w:val="FunctionTok"/>
        </w:rPr>
        <w:t>geom_density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"Distribuição da TR por Sexo"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</w:t>
      </w:r>
      <w:r>
        <w:rPr>
          <w:rStyle w:val="FunctionTok"/>
        </w:rPr>
        <w:t>theme_minimal</w:t>
      </w:r>
      <w:r>
        <w:rPr>
          <w:rStyle w:val="NormalTok"/>
        </w:rPr>
        <w:t>()</w:t>
        <w:br/>
        <w:t xml:space="preserve">“ </w:t>
      </w:r>
      <w:r>
        <w:rPr>
          <w:rStyle w:val="NormalTok"/>
        </w:rPr>
        <w:t>EXPLICAÇÃO:</w:t>
      </w:r>
    </w:p>
    <w:p>
      <w:pPr>
        <w:pStyle w:val="SourceCode"/>
        <w:rPr/>
      </w:pPr>
      <w:r>
        <w:rPr>
          <w:rStyle w:val="NormalTok"/>
        </w:rPr>
        <w:t>O grafico esta assim por conta de um valor “estranho” na base de dados, Altura: 0,02 na linha 60 da base de dados.</w:t>
      </w:r>
    </w:p>
    <w:p>
      <w:pPr>
        <w:pStyle w:val="SourceCode"/>
        <w:rPr/>
      </w:pPr>
      <w:r>
        <w:rPr>
          <w:rStyle w:val="NormalTok"/>
        </w:rPr>
        <w:t>Essa linha esta entrando na minha coleta de dados e aumentando o IMC, retornando valor: 180225.00000.</w:t>
      </w:r>
    </w:p>
    <w:p>
      <w:pPr>
        <w:pStyle w:val="SourceCode"/>
        <w:rPr/>
      </w:pPr>
      <w:r>
        <w:rPr>
          <w:rStyle w:val="NormalTok"/>
        </w:rPr>
        <w:t>Espero consideração.</w:t>
      </w:r>
    </w:p>
    <w:p>
      <w:pPr>
        <w:pStyle w:val="SourceCode"/>
        <w:rPr>
          <w:rStyle w:val="NormalTok"/>
        </w:rPr>
      </w:pPr>
      <w:r>
        <w:rPr/>
      </w:r>
    </w:p>
    <w:p>
      <w:pPr>
        <w:pStyle w:val="SourceCode"/>
        <w:rPr>
          <w:rStyle w:val="NormalTok"/>
        </w:rPr>
      </w:pPr>
      <w:r>
        <w:rPr/>
      </w:r>
    </w:p>
    <w:p>
      <w:pPr>
        <w:pStyle w:val="FirstParagraph"/>
        <w:rPr/>
      </w:pPr>
      <w:r>
        <w:rPr/>
        <w:drawing>
          <wp:inline distT="0" distB="0" distL="0" distR="0">
            <wp:extent cx="4620260" cy="369633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60" cy="369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rceCode"/>
        <w:rPr/>
      </w:pPr>
      <w:r>
        <w:rPr>
          <w:rStyle w:val="CommentTok"/>
        </w:rPr>
        <w:t># SB por escola</w:t>
      </w:r>
      <w:r>
        <w:rPr/>
        <w:br/>
      </w:r>
      <w:r>
        <w:rPr>
          <w:rStyle w:val="FunctionTok"/>
        </w:rPr>
        <w:t>ggplot</w:t>
      </w:r>
      <w:r>
        <w:rPr>
          <w:rStyle w:val="NormalTok"/>
        </w:rPr>
        <w:t xml:space="preserve">(base1,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SB, </w:t>
      </w:r>
      <w:r>
        <w:rPr>
          <w:rStyle w:val="AttributeTok"/>
        </w:rPr>
        <w:t>fill =</w:t>
      </w:r>
      <w:r>
        <w:rPr>
          <w:rStyle w:val="NormalTok"/>
        </w:rPr>
        <w:t xml:space="preserve"> Escola))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geom_density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"Distribuição da SB por Escola"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>
      <w:pPr>
        <w:pStyle w:val="FirstParagraph"/>
        <w:rPr/>
      </w:pPr>
      <w:r>
        <w:rPr/>
        <w:drawing>
          <wp:inline distT="0" distB="0" distL="0" distR="0">
            <wp:extent cx="4620260" cy="369633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60" cy="369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rceCode"/>
        <w:rPr/>
      </w:pPr>
      <w:r>
        <w:rPr>
          <w:rStyle w:val="CommentTok"/>
        </w:rPr>
        <w:t># ==========================================================</w:t>
      </w:r>
      <w:r>
        <w:rPr/>
        <w:br/>
      </w:r>
      <w:r>
        <w:rPr>
          <w:rStyle w:val="CommentTok"/>
        </w:rPr>
        <w:t># 6. BOXPLOTS</w:t>
      </w:r>
      <w:r>
        <w:rPr/>
        <w:br/>
        <w:br/>
      </w:r>
      <w:r>
        <w:rPr>
          <w:rStyle w:val="CommentTok"/>
        </w:rPr>
        <w:t># IMC por sexo</w:t>
      </w:r>
      <w:r>
        <w:rPr/>
        <w:br/>
      </w:r>
      <w:r>
        <w:rPr>
          <w:rStyle w:val="FunctionTok"/>
        </w:rPr>
        <w:t>ggplot</w:t>
      </w:r>
      <w:r>
        <w:rPr>
          <w:rStyle w:val="NormalTok"/>
        </w:rPr>
        <w:t xml:space="preserve">(base1,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Sexo, </w:t>
      </w:r>
      <w:r>
        <w:rPr>
          <w:rStyle w:val="AttributeTok"/>
        </w:rPr>
        <w:t>y =</w:t>
      </w:r>
      <w:r>
        <w:rPr>
          <w:rStyle w:val="NormalTok"/>
        </w:rPr>
        <w:t xml:space="preserve"> imc, </w:t>
      </w:r>
      <w:r>
        <w:rPr>
          <w:rStyle w:val="AttributeTok"/>
        </w:rPr>
        <w:t>fill =</w:t>
      </w:r>
      <w:r>
        <w:rPr>
          <w:rStyle w:val="NormalTok"/>
        </w:rPr>
        <w:t xml:space="preserve"> Sexo))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"IMC por Sexo"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>
      <w:pPr>
        <w:pStyle w:val="FirstParagraph"/>
        <w:rPr/>
      </w:pPr>
      <w:r>
        <w:rPr/>
        <w:drawing>
          <wp:inline distT="0" distB="0" distL="0" distR="0">
            <wp:extent cx="4620260" cy="369633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60" cy="369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rceCode"/>
        <w:rPr/>
      </w:pPr>
      <w:r>
        <w:rPr>
          <w:rStyle w:val="CommentTok"/>
        </w:rPr>
        <w:t># TR por sexo</w:t>
      </w:r>
      <w:r>
        <w:rPr/>
        <w:br/>
      </w:r>
      <w:r>
        <w:rPr>
          <w:rStyle w:val="FunctionTok"/>
        </w:rPr>
        <w:t>ggplot</w:t>
      </w:r>
      <w:r>
        <w:rPr>
          <w:rStyle w:val="NormalTok"/>
        </w:rPr>
        <w:t xml:space="preserve">(base1,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Sexo, </w:t>
      </w:r>
      <w:r>
        <w:rPr>
          <w:rStyle w:val="AttributeTok"/>
        </w:rPr>
        <w:t>y =</w:t>
      </w:r>
      <w:r>
        <w:rPr>
          <w:rStyle w:val="NormalTok"/>
        </w:rPr>
        <w:t xml:space="preserve"> TR, </w:t>
      </w:r>
      <w:r>
        <w:rPr>
          <w:rStyle w:val="AttributeTok"/>
        </w:rPr>
        <w:t>fill =</w:t>
      </w:r>
      <w:r>
        <w:rPr>
          <w:rStyle w:val="NormalTok"/>
        </w:rPr>
        <w:t xml:space="preserve"> Sexo))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</w:t>
      </w:r>
      <w:r>
        <w:rPr>
          <w:rStyle w:val="FunctionTok"/>
        </w:rPr>
        <w:t>geom_boxplot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"TR por Sexo"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>
      <w:pPr>
        <w:pStyle w:val="SourceCode"/>
        <w:rPr/>
      </w:pPr>
      <w:r>
        <w:rPr/>
      </w:r>
    </w:p>
    <w:p>
      <w:pPr>
        <w:pStyle w:val="SourceCode"/>
        <w:rPr/>
      </w:pPr>
      <w:r>
        <w:rPr>
          <w:rStyle w:val="NormalTok"/>
        </w:rPr>
        <w:t xml:space="preserve">“ </w:t>
      </w:r>
      <w:r>
        <w:rPr>
          <w:rStyle w:val="NormalTok"/>
        </w:rPr>
        <w:t>EXPLICAÇÃO:</w:t>
      </w:r>
    </w:p>
    <w:p>
      <w:pPr>
        <w:pStyle w:val="SourceCode"/>
        <w:rPr/>
      </w:pPr>
      <w:r>
        <w:rPr>
          <w:rStyle w:val="NormalTok"/>
        </w:rPr>
        <w:t>O grafico esta assim por conta de um valor “estranho” na base de dados, Altura:0,02 na linha 60.</w:t>
      </w:r>
    </w:p>
    <w:p>
      <w:pPr>
        <w:pStyle w:val="SourceCode"/>
        <w:rPr/>
      </w:pPr>
      <w:r>
        <w:rPr>
          <w:rStyle w:val="NormalTok"/>
        </w:rPr>
        <w:t>Essa linha esta entrando na minha coleta de dados e aumentando o IMC, retornando valor: 180225.00000.</w:t>
      </w:r>
    </w:p>
    <w:p>
      <w:pPr>
        <w:pStyle w:val="SourceCode"/>
        <w:rPr/>
      </w:pPr>
      <w:r>
        <w:rPr>
          <w:rStyle w:val="NormalTok"/>
        </w:rPr>
        <w:t>Espero consideração.</w:t>
      </w:r>
    </w:p>
    <w:p>
      <w:pPr>
        <w:pStyle w:val="SourceCode"/>
        <w:rPr/>
      </w:pPr>
      <w:r>
        <w:rPr>
          <w:rStyle w:val="NormalTok"/>
        </w:rPr>
        <w:t xml:space="preserve"> </w:t>
      </w:r>
      <w:r>
        <w:rPr>
          <w:rStyle w:val="NormalTok"/>
        </w:rPr>
        <w:t>”</w:t>
      </w:r>
    </w:p>
    <w:p>
      <w:pPr>
        <w:pStyle w:val="FirstParagraph"/>
        <w:rPr/>
      </w:pPr>
      <w:r>
        <w:rPr/>
        <w:drawing>
          <wp:inline distT="0" distB="0" distL="0" distR="0">
            <wp:extent cx="4620260" cy="369633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60" cy="369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rceCode"/>
        <w:rPr/>
      </w:pPr>
      <w:r>
        <w:rPr>
          <w:rStyle w:val="CommentTok"/>
        </w:rPr>
        <w:t># SB por escola</w:t>
      </w:r>
      <w:r>
        <w:rPr/>
        <w:br/>
      </w:r>
      <w:r>
        <w:rPr>
          <w:rStyle w:val="FunctionTok"/>
        </w:rPr>
        <w:t>ggplot</w:t>
      </w:r>
      <w:r>
        <w:rPr>
          <w:rStyle w:val="NormalTok"/>
        </w:rPr>
        <w:t xml:space="preserve">(base1,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Escola, </w:t>
      </w:r>
      <w:r>
        <w:rPr>
          <w:rStyle w:val="AttributeTok"/>
        </w:rPr>
        <w:t>y =</w:t>
      </w:r>
      <w:r>
        <w:rPr>
          <w:rStyle w:val="NormalTok"/>
        </w:rPr>
        <w:t xml:space="preserve"> SB, </w:t>
      </w:r>
      <w:r>
        <w:rPr>
          <w:rStyle w:val="AttributeTok"/>
        </w:rPr>
        <w:t>fill =</w:t>
      </w:r>
      <w:r>
        <w:rPr>
          <w:rStyle w:val="NormalTok"/>
        </w:rPr>
        <w:t xml:space="preserve"> Escola))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"SB por Escola"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>
      <w:pPr>
        <w:pStyle w:val="FirstParagraph"/>
        <w:spacing w:before="180" w:after="180"/>
        <w:rPr/>
      </w:pPr>
      <w:r>
        <w:rPr/>
        <w:drawing>
          <wp:inline distT="0" distB="0" distL="0" distR="0">
            <wp:extent cx="4620260" cy="369633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60" cy="369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80" w:after="180"/>
        <w:rPr/>
      </w:pPr>
      <w:r>
        <w:rPr/>
      </w:r>
    </w:p>
    <w:p>
      <w:pPr>
        <w:pStyle w:val="BodyText"/>
        <w:spacing w:before="180" w:after="180"/>
        <w:rPr/>
      </w:pPr>
      <w:r>
        <w:rPr/>
      </w:r>
    </w:p>
    <w:p>
      <w:pPr>
        <w:pStyle w:val="BodyText"/>
        <w:spacing w:before="180" w:after="180"/>
        <w:jc w:val="center"/>
        <w:rPr/>
      </w:pPr>
      <w:r>
        <w:rPr/>
        <w:t>Conclusão</w:t>
      </w:r>
    </w:p>
    <w:p>
      <w:pPr>
        <w:pStyle w:val="BodyText"/>
        <w:spacing w:before="180" w:after="180"/>
        <w:jc w:val="center"/>
        <w:rPr/>
      </w:pPr>
      <w:r>
        <w:rPr/>
      </w:r>
    </w:p>
    <w:p>
      <w:pPr>
        <w:pStyle w:val="BodyText"/>
        <w:spacing w:before="180" w:after="180"/>
        <w:jc w:val="left"/>
        <w:rPr/>
      </w:pPr>
      <w:r>
        <w:rPr>
          <w:b/>
        </w:rPr>
        <w:t>4a) IMC por Sexo:</w:t>
      </w:r>
      <w:r>
        <w:rPr/>
        <w:t xml:space="preserve"> A análise do IMC para o sexo masculino está severamente prejudicada devido a um erro de digitação na base de dados (linha 60), onde uma altura de </w:t>
      </w:r>
      <w:r>
        <w:rPr>
          <w:b/>
        </w:rPr>
        <w:t>0,02 m</w:t>
      </w:r>
      <w:r>
        <w:rPr/>
        <w:t xml:space="preserve"> resultou em um IMC impossível de </w:t>
      </w:r>
      <w:r>
        <w:rPr>
          <w:b/>
        </w:rPr>
        <w:t>180.225</w:t>
      </w:r>
      <w:r>
        <w:rPr/>
        <w:t xml:space="preserve">. Isso elevou a média masculina para </w:t>
      </w:r>
      <w:r>
        <w:rPr>
          <w:b/>
        </w:rPr>
        <w:t>3485,5</w:t>
      </w:r>
      <w:r>
        <w:rPr/>
        <w:t xml:space="preserve">, tornando o dado estatisticamente inválido para interpretação biológica. Já o sexo feminino apresenta uma média de </w:t>
      </w:r>
      <w:r>
        <w:rPr>
          <w:b/>
        </w:rPr>
        <w:t>19,2</w:t>
      </w:r>
      <w:r>
        <w:rPr/>
        <w:t xml:space="preserve">, com um coeficiente de variação (CV) de </w:t>
      </w:r>
      <w:r>
        <w:rPr>
          <w:b/>
        </w:rPr>
        <w:t>14,9%</w:t>
      </w:r>
      <w:r>
        <w:rPr/>
        <w:t>, indicando uma distribuição razoavelmente homogênea e dentro de padrões esperados para o ensino fundamental.</w:t>
      </w:r>
    </w:p>
    <w:p>
      <w:pPr>
        <w:pStyle w:val="BodyText"/>
        <w:spacing w:before="180" w:after="180"/>
        <w:jc w:val="left"/>
        <w:rPr/>
      </w:pPr>
      <w:r>
        <w:rPr/>
      </w:r>
    </w:p>
    <w:p>
      <w:pPr>
        <w:pStyle w:val="Normal"/>
        <w:spacing w:before="180" w:after="180"/>
        <w:jc w:val="left"/>
        <w:rPr/>
      </w:pPr>
      <w:r>
        <w:rPr>
          <w:rFonts w:ascii="Google Sans Text;sans-serif" w:hAnsi="Google Sans Text;sans-serif"/>
          <w:b/>
        </w:rPr>
        <w:t>4b) TR (Dobra Triciptal) por Sexo:</w:t>
      </w:r>
      <w:r>
        <w:rPr>
          <w:rFonts w:ascii="Google Sans Text;sans-serif" w:hAnsi="Google Sans Text;sans-serif"/>
        </w:rPr>
        <w:t xml:space="preserve"> Observa-se que as meninas possuem uma média de dobra cutânea triciptal superior (</w:t>
      </w:r>
      <w:r>
        <w:rPr>
          <w:rFonts w:ascii="Google Sans Text;sans-serif" w:hAnsi="Google Sans Text;sans-serif"/>
          <w:b/>
        </w:rPr>
        <w:t>14,4 mm</w:t>
      </w:r>
      <w:r>
        <w:rPr>
          <w:rFonts w:ascii="Google Sans Text;sans-serif" w:hAnsi="Google Sans Text;sans-serif"/>
        </w:rPr>
        <w:t>) à dos meninos (</w:t>
      </w:r>
      <w:r>
        <w:rPr>
          <w:rFonts w:ascii="Google Sans Text;sans-serif" w:hAnsi="Google Sans Text;sans-serif"/>
          <w:b/>
        </w:rPr>
        <w:t>9,88 mm</w:t>
      </w:r>
      <w:r>
        <w:rPr>
          <w:rFonts w:ascii="Google Sans Text;sans-serif" w:hAnsi="Google Sans Text;sans-serif"/>
        </w:rPr>
        <w:t xml:space="preserve">). Além de possuírem valores menores, os meninos apresentam maior heterogeneidade nos dados, com um CV de </w:t>
      </w:r>
      <w:r>
        <w:rPr>
          <w:rFonts w:ascii="Google Sans Text;sans-serif" w:hAnsi="Google Sans Text;sans-serif"/>
          <w:b/>
        </w:rPr>
        <w:t>47,4%</w:t>
      </w:r>
      <w:r>
        <w:rPr>
          <w:rFonts w:ascii="Google Sans Text;sans-serif" w:hAnsi="Google Sans Text;sans-serif"/>
        </w:rPr>
        <w:t xml:space="preserve">, contra </w:t>
      </w:r>
      <w:r>
        <w:rPr>
          <w:rFonts w:ascii="Google Sans Text;sans-serif" w:hAnsi="Google Sans Text;sans-serif"/>
          <w:b/>
        </w:rPr>
        <w:t>32,8%</w:t>
      </w:r>
      <w:r>
        <w:rPr>
          <w:rFonts w:ascii="Google Sans Text;sans-serif" w:hAnsi="Google Sans Text;sans-serif"/>
        </w:rPr>
        <w:t xml:space="preserve"> das meninas.</w:t>
      </w:r>
    </w:p>
    <w:p>
      <w:pPr>
        <w:pStyle w:val="BodyText"/>
        <w:spacing w:before="180" w:after="180"/>
        <w:jc w:val="left"/>
        <w:rPr/>
      </w:pPr>
      <w:r>
        <w:rPr/>
      </w:r>
    </w:p>
    <w:p>
      <w:pPr>
        <w:pStyle w:val="BodyText"/>
        <w:spacing w:before="180" w:after="180"/>
        <w:jc w:val="left"/>
        <w:rPr/>
      </w:pPr>
      <w:r>
        <w:rPr>
          <w:b/>
        </w:rPr>
        <w:t>4c) SB (Dobra Subescapular) por Escola:</w:t>
      </w:r>
      <w:r>
        <w:rPr/>
        <w:t xml:space="preserve"> Não há diferença significativa entre as médias de dobra subescapular de alunos de escolas públicas (</w:t>
      </w:r>
      <w:r>
        <w:rPr>
          <w:b/>
        </w:rPr>
        <w:t>9,27 mm</w:t>
      </w:r>
      <w:r>
        <w:rPr/>
        <w:t>) e particulares (</w:t>
      </w:r>
      <w:r>
        <w:rPr>
          <w:b/>
        </w:rPr>
        <w:t>9,24 mm</w:t>
      </w:r>
      <w:r>
        <w:rPr/>
        <w:t xml:space="preserve">). No entanto, os alunos de escolas particulares apresentam uma variabilidade ligeiramente maior em sua composição corporal para essa medida (CV de </w:t>
      </w:r>
      <w:r>
        <w:rPr>
          <w:b/>
        </w:rPr>
        <w:t>53,1%</w:t>
      </w:r>
      <w:r>
        <w:rPr/>
        <w:t xml:space="preserve"> contra </w:t>
      </w:r>
      <w:r>
        <w:rPr>
          <w:b/>
        </w:rPr>
        <w:t>44,0%</w:t>
      </w:r>
      <w:r>
        <w:rPr/>
        <w:t xml:space="preserve"> da pública)</w:t>
      </w:r>
    </w:p>
    <w:p>
      <w:pPr>
        <w:pStyle w:val="BodyText"/>
        <w:spacing w:before="180" w:after="180"/>
        <w:jc w:val="left"/>
        <w:rPr/>
      </w:pPr>
      <w:r>
        <w:rPr/>
      </w:r>
    </w:p>
    <w:p>
      <w:pPr>
        <w:pStyle w:val="BodyText"/>
        <w:spacing w:before="180" w:after="180"/>
        <w:jc w:val="left"/>
        <w:rPr/>
      </w:pPr>
      <w:r>
        <w:rPr/>
        <w:t>5)</w:t>
      </w:r>
    </w:p>
    <w:p>
      <w:pPr>
        <w:pStyle w:val="BodyText"/>
        <w:spacing w:before="180" w:after="180"/>
        <w:jc w:val="left"/>
        <w:rPr/>
      </w:pPr>
      <w:r>
        <w:rPr/>
        <w:t xml:space="preserve"> </w:t>
      </w:r>
      <w:bookmarkStart w:id="0" w:name="p-rc_a9ccf255f8db5f6f-32"/>
      <w:bookmarkEnd w:id="0"/>
      <w:r>
        <w:rPr>
          <w:rFonts w:ascii="Google Sans Text;sans-serif" w:hAnsi="Google Sans Text;sans-serif"/>
          <w:b/>
        </w:rPr>
        <w:t>IMC por Sexo:</w:t>
      </w:r>
      <w:r>
        <w:rPr>
          <w:rFonts w:ascii="Google Sans Text;sans-serif" w:hAnsi="Google Sans Text;sans-serif"/>
        </w:rPr>
        <w:t xml:space="preserve"> O gráfico de densidade não permite visualização clínica dos dados devido à escala distorcida pelo valor extremo (outlier) de IMC superior a 150.000 no grupo masculino.</w:t>
      </w:r>
    </w:p>
    <w:p>
      <w:pPr>
        <w:pStyle w:val="BodyText"/>
        <w:spacing w:before="180" w:after="180"/>
        <w:jc w:val="left"/>
        <w:rPr/>
      </w:pPr>
      <w:r>
        <w:rPr>
          <w:rFonts w:ascii="Google Sans Text;sans-serif" w:hAnsi="Google Sans Text;sans-serif"/>
          <w:b/>
        </w:rPr>
        <w:t>TR por Sexo:</w:t>
      </w:r>
      <w:r>
        <w:rPr>
          <w:rFonts w:ascii="Google Sans Text;sans-serif" w:hAnsi="Google Sans Text;sans-serif"/>
        </w:rPr>
        <w:t xml:space="preserve"> O gráfico confirma visualmente que a distribuição das meninas está deslocada para a direita, indicando valores maiores de gordura localizada no tríceps, enquanto os meninos apresentam uma curva mais "pontuda" à esquerda, mas com uma base larga que reflete a alta variabilidade mencionada no item 4b.</w:t>
      </w:r>
    </w:p>
    <w:p>
      <w:pPr>
        <w:pStyle w:val="BodyText"/>
        <w:spacing w:before="180" w:after="180"/>
        <w:jc w:val="left"/>
        <w:rPr/>
      </w:pPr>
      <w:bookmarkStart w:id="1" w:name="p-rc_a9ccf255f8db5f6f-34"/>
      <w:bookmarkEnd w:id="1"/>
      <w:r>
        <w:rPr>
          <w:rFonts w:ascii="Google Sans Text;sans-serif" w:hAnsi="Google Sans Text;sans-serif"/>
          <w:b/>
        </w:rPr>
        <w:t>SB por Escola:</w:t>
      </w:r>
      <w:r>
        <w:rPr>
          <w:rFonts w:ascii="Google Sans Text;sans-serif" w:hAnsi="Google Sans Text;sans-serif"/>
        </w:rPr>
        <w:t xml:space="preserve"> As curvas de densidade para escolas públicas e particulares estão quase sobrepostas, reforçando a conclusão de que o tipo de escola não é um fator determinante para a espessura da dobra subescapular nesta amostra.</w:t>
      </w:r>
    </w:p>
    <w:p>
      <w:pPr>
        <w:pStyle w:val="BodyText"/>
        <w:spacing w:before="180" w:after="180"/>
        <w:jc w:val="left"/>
        <w:rPr/>
      </w:pPr>
      <w:r>
        <w:rPr/>
      </w:r>
    </w:p>
    <w:p>
      <w:pPr>
        <w:pStyle w:val="BodyText"/>
        <w:spacing w:before="180" w:after="180"/>
        <w:jc w:val="left"/>
        <w:rPr/>
      </w:pPr>
      <w:r>
        <w:rPr/>
        <w:t>6)</w:t>
      </w:r>
    </w:p>
    <w:p>
      <w:pPr>
        <w:pStyle w:val="BodyText"/>
        <w:spacing w:before="180" w:after="180"/>
        <w:jc w:val="left"/>
        <w:rPr/>
      </w:pPr>
      <w:bookmarkStart w:id="2" w:name="p-rc_a9ccf255f8db5f6f-35"/>
      <w:bookmarkEnd w:id="2"/>
      <w:r>
        <w:rPr>
          <w:b/>
        </w:rPr>
        <w:t>IMC por Sexo:</w:t>
      </w:r>
      <w:r>
        <w:rPr/>
        <w:t xml:space="preserve"> O Boxplot evidencia o erro de medida na amostra masculina, mostrando um ponto (outlier) extremamente distante da caixa, o que "achata" as caixas de ambos os sexos próximo ao zero na escala do eixo Y.</w:t>
      </w:r>
    </w:p>
    <w:p>
      <w:pPr>
        <w:pStyle w:val="BodyText"/>
        <w:spacing w:before="180" w:after="180"/>
        <w:jc w:val="left"/>
        <w:rPr/>
      </w:pPr>
      <w:bookmarkStart w:id="3" w:name="p-rc_a9ccf255f8db5f6f-36"/>
      <w:bookmarkEnd w:id="3"/>
      <w:r>
        <w:rPr>
          <w:b/>
        </w:rPr>
        <w:t>TR por Sexo:</w:t>
      </w:r>
      <w:r>
        <w:rPr/>
        <w:t xml:space="preserve"> O gráfico mostra que a mediana das meninas é visivelmente superior à dos meninos. É possível notar que 75% das meninas possuem valores de TR acima da mediana da maioria dos meninos.</w:t>
      </w:r>
    </w:p>
    <w:p>
      <w:pPr>
        <w:pStyle w:val="BodyText"/>
        <w:spacing w:before="180" w:after="180"/>
        <w:jc w:val="left"/>
        <w:rPr/>
      </w:pPr>
      <w:bookmarkStart w:id="4" w:name="p-rc_a9ccf255f8db5f6f-37"/>
      <w:bookmarkEnd w:id="4"/>
      <w:r>
        <w:rPr>
          <w:b/>
        </w:rPr>
        <w:t>SB por Escola:</w:t>
      </w:r>
      <w:r>
        <w:rPr/>
        <w:t xml:space="preserve"> Os boxplots são muito semelhantes em termos de mediana e quartis. No entanto, a escola particular apresenta um valor extremo superior mais elevado que a escola pública, o que explica o coeficiente de variação mais alto encontrado nos cálculos numéricos.</w:t>
      </w:r>
    </w:p>
    <w:p>
      <w:pPr>
        <w:pStyle w:val="BodyText"/>
        <w:spacing w:before="180" w:after="18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8F5902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b/>
      <w:color w:val="CE5C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b/>
      <w:color w:val="204A87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204A87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/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LibreOffice/25.2.3.2$Linux_X86_64 LibreOffice_project/520$Build-2</Application>
  <AppVersion>15.0000</AppVersion>
  <Pages>9</Pages>
  <Words>960</Words>
  <Characters>5057</Characters>
  <CharactersWithSpaces>6236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2026-04-11T16:22:36Z</dcterms:created>
  <dc:creator>gui</dc:creator>
  <dc:description/>
  <dc:language>en-US</dc:language>
  <cp:lastModifiedBy/>
  <dcterms:modified xsi:type="dcterms:W3CDTF">2026-04-14T23:53:14Z</dcterms:modified>
  <cp:revision>4</cp:revision>
  <dc:subject/>
  <dc:title>trab3.R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2026-04-11</vt:lpwstr>
  </property>
</Properties>
</file>