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김진영</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(주)한울씨앤비</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상무</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③ 설계·감리 업무 없이 BIM 모델링·컨설팅·SW가 주업인 업체 소속 → BIM 전문업계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20년 (BIM 10년) / 공공 40건 · 민간 5건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도로, 교량, 터널, 철도</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2026.10.26</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③ 1~2년 준비기간이 더 필요</w:t>
            </w:r>
          </w:p>
          <w:p>
            <w:pPr>
              <w:spacing w:before="0" w:after="0"/>
            </w:pPr>
            <w:r>
              <w:rPr/>
              <w:t xml:space="preserve">그렇게 판단하시는 이유 : 스마트건설 기술의 적용 가능성은 공사금액보다 발주기관의 추진 의지와 준비 수준이 더욱 중요하다고 판단됨. 현재 BIM을 활용한 시공관리 기술은 충분히 확보되어 있으나, 발주기관의 BIM 활용체계와 실무 운영기준 등은 아직 미흡한 실정임. 따라서 적용 대상 확대에 앞서 발주기관의 업무체계 정립과 제도적 기반 마련을 위한 1~2년의 추가 준비기간이 필요할 것으로 판단됨.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비용 : BIM 대가 산정 기준이 분야별로 달라 사업마다 편차 / 검수 : 성과품 검수 체계·인력 미비</w:t>
            </w:r>
          </w:p>
          <w:p>
            <w:pPr>
              <w:spacing w:before="0" w:after="0"/>
            </w:pPr>
            <w:r>
              <w:rPr/>
              <w:t xml:space="preserve">가장 우려되는 문제가 실제로 어떤 형태로 나타날지 적어 주십시오 : BIM 대가 산정기준이 분야별로 상이하고 명확하지 않아 발주기관과 수행업체 간 과업범위 및 적정 대가 산정에 혼선이 발생하고 있음. 또한 BIM 성과품을 과업지시서에 따라 제출하더라도 표준화된 검수기준과 전문인력이 부족하여 성과품의 품질 및 적정성에 대한 상호 신뢰 확보에 어려움이 있음. 따라서 확대 시행에 앞서 합리적인 대가 산정체계와 객관적인 검수기준 및 전문인력 확보가 선행되어야 함.</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검수 기준·절차 / BIM 성과의 기존 문서 대체 인정 (법적 지위)</w:t>
            </w:r>
          </w:p>
          <w:p>
            <w:pPr>
              <w:spacing w:before="0" w:after="0"/>
            </w:pPr>
            <w:r>
              <w:rPr/>
              <w:t xml:space="preserve">가장 시급한 1개를 고르신다면, 구체적으로 어떤 형태로 마련되어야 합니까? : BIM의 실질적인 활용 확대를 위해서는 기존 문서를 BIM 성과품으로 대체할 수 있는 법적·제도적 기반 마련이 선행되어야 함. BIM 성과품이 기존 문서와 동등한 효력을 인정받아야 중복 업무를 최소화하고, BIM 기반의 설계·시공 및 건설관리 업무가 활성화될 것으로 판단됨.</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지침 예시 수준으로 가능</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1000억원 이상은 지침예시 수준으로 가능하다고 판단하였고 그 외는 주요 구조물 중심으로 가능하다고 판단됨.</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(나) B안 — 1,000억↑부터, 300~1,000억은 성과축적 후 재검토</w:t>
            </w:r>
          </w:p>
          <w:p>
            <w:pPr>
              <w:spacing w:before="0" w:after="0"/>
            </w:pPr>
            <w:r>
              <w:rPr/>
              <w:t xml:space="preserve">2순위 : (가) A안(대상·시기 유지, 요구수준 단계화) — 300억↑ 기타공사, 토목은 구조물 포함, 상세수준은 주요 구조물 중심으로 시작해 단계 상향</w:t>
            </w:r>
          </w:p>
          <w:p>
            <w:pPr>
              <w:spacing w:before="0" w:after="0"/>
            </w:pPr>
            <w:r>
              <w:rPr/>
              <w:t xml:space="preserve">1순위로 고르신 이유와, 그 안의 예상되는 부작용 : BIM 확대 적용은 기술적 문제보다 발주기관의 운영체계 및 실무 준비 수준이 더욱 중요하다고 판단됨. 현재도 BIM 활용 및 운영체계가 충분히 정착되지 않은 상황에서 적용 대상을 일시에 확대하기보다는 1,000억 원 이상 사업부터 우선 적용하고, 운영성과와 문제점을 검토하여 300~1,000억 원 규모의 사업으로 단계적으로 확대하는 것이 바람직할 것으로 판단됨.</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① 금액 기준을 단계적으로 내려 대상 확대 (현행 서울시)</w:t>
            </w:r>
          </w:p>
          <w:p>
            <w:pPr>
              <w:spacing w:before="0" w:after="0"/>
            </w:pPr>
            <w:r>
              <w:rPr/>
              <w:t xml:space="preserve">선택하신 이유와, 서울시에 적용할 때 유의할 점 : BIM 적용 확대는 발주기관의 운영 역량과 현장 활용체계를 고려하여 단계적으로 추진하는 것이 현실적이라고 판단됨. 우선 대규모 사업을 중심으로 BIM 운영 경험과 성과를 축적하고, 이를 바탕으로 발주·검수기준 및 업무체계를 개선하면서 적용 금액 기준을 점진적으로 하향하는 것이 시행착오를 최소화하고 BIM의 실질적인 활용을 확대하는 데 효과적일 것으로 판단됨.</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① 타당하다</w:t>
            </w:r>
          </w:p>
          <w:p>
            <w:pPr>
              <w:spacing w:before="0" w:after="0"/>
            </w:pPr>
            <w:r>
              <w:rPr/>
              <w:t xml:space="preserve">선택 : 구조물의 복잡도 (지하·복합구조 등) / 관련 공종의 수</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① 계획대로 '29년 가능</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서울시가 국가보다 선제적으로 BIM 적용 대상을 확대하려는 취지는 긍정적이나, 시행 시기보다 발주기관의 실질적인 운영 준비가 우선되어야 한다고 판단됨. 특히 서울시의 복잡한 도심지 공사환경과 다양한 사업 특성을 고려할 때, 발주·성과품 검수·시공관리 및 유지관리 연계체계가 충분히 마련되지 않은 상태에서의 조기 확대는 현장 혼선을 초래할 우려가 있음. 따라서 시행 시기를 앞당기기보다는 기존 적용사업의 운영성과를 검토하고 제도적 기반을 정비한 후 단계적으로 확대하는 것이 바람직함.</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국토부의 BIM 대가 산정 및 설계도서 관련 기준이 명확히 정비되지 않아 시공단계 BIM의 과업범위 설정과 적정 대가 산정에 어려움이 있음. 특히 BIM 기반 공정·기성관리, 설계변경 및 수량산출 등 기존 업무를 BIM으로 대체하는 과정에서 성과품의 법적 지위와 인정범위가 불명확함. 또한 발주기관별 과업 및 검수기준이 상이하여 수행업체의 업무 혼선과 추가 비용이 발생할 우려가 있으므로 관련 기준의 조속한 정비가 필요함.</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서울시보다 높음/많음</w:t>
            </w:r>
          </w:p>
          <w:p>
            <w:pPr>
              <w:spacing w:before="0" w:after="0"/>
            </w:pPr>
            <w:r>
              <w:rPr/>
              <w:t xml:space="preserve">성과품 요구수준 : 서울시보다 높음/많음</w:t>
            </w:r>
          </w:p>
          <w:p>
            <w:pPr>
              <w:spacing w:before="0" w:after="0"/>
            </w:pPr>
            <w:r>
              <w:rPr/>
              <w:t xml:space="preserve">검수의 엄격성 : 서울시보다 높음/많음</w:t>
            </w:r>
          </w:p>
          <w:p>
            <w:pPr>
              <w:spacing w:before="0" w:after="0"/>
            </w:pPr>
            <w:r>
              <w:rPr/>
              <w:t xml:space="preserve">과업 수행 기간의 여유 : 비슷</w:t>
            </w:r>
          </w:p>
          <w:p>
            <w:pPr>
              <w:spacing w:before="0" w:after="0"/>
            </w:pPr>
            <w:r>
              <w:rPr/>
              <w:t xml:space="preserve">수행 기관 (해당 시) : 한국도로공사, 국가철도공단, LH</w:t>
            </w:r>
          </w:p>
          <w:p>
            <w:pPr>
              <w:spacing w:before="0" w:after="0"/>
            </w:pPr>
            <w:r>
              <w:rPr/>
              <w:t xml:space="preserve">가장 크게 달랐던 점과, 서울시가 참고할 만한 부분 : 국가철도공단의 경우 BIM 전담부서를 중심으로 설계단계부터 시공 및 유지관리단계까지 BIM 활용체계를 단계적으로 확대하고 있음. 우선 설계단계에서는 성과품 제출 전 심사부서와 BIM 담당부서가 검토·검수를 수행하여 BIM 데이터의 품질과 신뢰성을 확보하고자 노력하고 있음. 이를 기반으로 시공단계 BIM을 별도로 발주하여 설계단계에서 구축된 BIM 데이터가 실제 시공관리 업무에 활용될 수 있도록 추진하고 있으며, 최근에는 시공단계에서 축적된 BIM 데이터를 시설물 유지관리까지 연계하기 위한 연구도 진행 중인 것으로 알고 있음. 이처럼 BIM 성과품의 품질 확보를 시작으로 시공단계 활용과 유지관리 연계까지 확대하는 발주기관 중심의 단계적 추진체계는 서울시에서도 참고할 필요가 있다고 판단됨.</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③ 10~20%</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① 명확히 이득</w:t>
            </w:r>
          </w:p>
          <w:p>
            <w:pPr>
              <w:spacing w:before="0" w:after="0"/>
            </w:pPr>
            <w:r>
              <w:rPr/>
              <w:t xml:space="preserve">선택 : 도로 / 철도</w:t>
            </w:r>
          </w:p>
          <w:p>
            <w:pPr>
              <w:spacing w:before="0" w:after="0"/>
            </w:pPr>
            <w:r>
              <w:rPr/>
              <w:t xml:space="preserve">1건당 착공 전 발견 간섭·오류 건수 : 10건↑</w:t>
            </w:r>
          </w:p>
          <w:p>
            <w:pPr>
              <w:spacing w:before="0" w:after="0"/>
            </w:pPr>
            <w:r>
              <w:rPr/>
              <w:t xml:space="preserve">오류 1건이 착공 후 발견 시 설계변경 증액 : 1천~5천만</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① 이미 감당 가능한 수준</w:t>
            </w:r>
          </w:p>
          <w:p>
            <w:pPr>
              <w:spacing w:before="0" w:after="0"/>
            </w:pPr>
            <w:r>
              <w:rPr/>
              <w:t xml:space="preserve">그렇게 보시는 근거 (업계 여건·기술·기준 정비 등) : 기술적·경제적 측면: 이미 활용 가능한 수준이며, 설계오류 예방과 비용관리 효율화에 따른 경제적 효과를 기대할 수 있음.</w:t>
            </w:r>
          </w:p>
          <w:p>
            <w:pPr>
              <w:spacing w:before="0" w:after="0"/>
            </w:pPr>
            <w:r>
              <w:rPr/>
              <w:t xml:space="preserve">제도적·운영적 측면: 발주기관의 적정 대가 산정, 검수체계, 기존 업무 대체 인정 등이 미흡하여 확대 시행에는 추가 준비가 필요함.</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BIM은 설계오류 예방과 시공관리 효율화를 통해 경제적 효과를 창출할 수 있으나, 이를 위해서는 모델 구축·검증 및 공정·수량정보 연계 등 별도의 전문인력과 업무수행이 필요함. 적정 대가가 확보되지 않을 경우 형식적인 성과품 작성에 그칠 우려가 있으며, 충분한 대가가 지급되어야 BIM 데이터의 품질 확보와 실질적인 현장 활용이 가능할 것으로 판단됨.</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① 별도 대가기준이 반드시 필요</w:t>
            </w:r>
          </w:p>
        </w:tc>
      </w:tr>
    </w:tbl>
    <w:p>
      <w:pPr>
        <w:pBdr>
          <w:bottom w:val="single" w:sz="12" w:space="1" w:color="000000"/>
        </w:pBdr>
        <w:spacing w:before="280" w:after="120"/>
      </w:pPr>
      <w:r>
        <w:rPr>
          <w:b/>
          <w:sz w:val="24"/>
          <w:szCs w:val="24"/>
        </w:rPr>
        <w:t xml:space="preserve">Ⅳ-3. BIM 전문 분야 문항 (B1~B7)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B1. 서울형 BIM 적용지침의 요구수준 적정성</w:t>
            </w:r>
          </w:p>
        </w:tc>
        <w:tc>
          <w:tcPr>
            <w:tcW w:w="5600" w:type="dxa"/>
          </w:tcPr>
          <w:p>
            <w:pPr>
              <w:spacing w:before="0" w:after="0"/>
            </w:pPr>
            <w:r>
              <w:rPr/>
              <w:t xml:space="preserve">모델 상세수준(LOD) : 적정</w:t>
            </w:r>
          </w:p>
          <w:p>
            <w:pPr>
              <w:spacing w:before="0" w:after="0"/>
            </w:pPr>
            <w:r>
              <w:rPr/>
              <w:t xml:space="preserve">개방형 포맷(IFC) 납품 : 적정</w:t>
            </w:r>
          </w:p>
          <w:p>
            <w:pPr>
              <w:spacing w:before="0" w:after="0"/>
            </w:pPr>
            <w:r>
              <w:rPr/>
              <w:t xml:space="preserve">속성정보 입력 범위 : 적정</w:t>
            </w:r>
          </w:p>
          <w:p>
            <w:pPr>
              <w:spacing w:before="0" w:after="0"/>
            </w:pPr>
            <w:r>
              <w:rPr/>
              <w:t xml:space="preserve">간섭검토·사전평가 범위 : 적정</w:t>
            </w:r>
          </w:p>
          <w:p>
            <w:pPr>
              <w:spacing w:before="0" w:after="0"/>
            </w:pPr>
            <w:r>
              <w:rPr/>
              <w:t xml:space="preserve">도면 자동추출 요구 : 적정</w:t>
            </w:r>
          </w:p>
          <w:p>
            <w:pPr>
              <w:spacing w:before="0" w:after="0"/>
            </w:pPr>
            <w:r>
              <w:rPr/>
              <w:t xml:space="preserve">성과품 제출 형식·수량 : 적정</w:t>
            </w:r>
          </w:p>
        </w:tc>
      </w:tr>
      <w:tr>
        <w:trPr>
          <w:cantSplit/>
        </w:trPr>
        <w:tc>
          <w:tcPr>
            <w:tcW w:w="4000" w:type="dxa"/>
          </w:tcPr>
          <w:p>
            <w:pPr>
              <w:spacing w:before="0" w:after="0"/>
            </w:pPr>
            <w:r>
              <w:rPr/>
              <w:t xml:space="preserve">B2. 요구수준을 '필수'와 '권장'으로 나눈다면 어떻게 구분?</w:t>
            </w:r>
          </w:p>
        </w:tc>
        <w:tc>
          <w:tcPr>
            <w:tcW w:w="5600" w:type="dxa"/>
          </w:tcPr>
          <w:p>
            <w:pPr>
              <w:spacing w:before="0" w:after="0"/>
            </w:pPr>
            <w:r>
              <w:rPr/>
              <w:t xml:space="preserve">선택 : 상시 기준으로 유지</w:t>
            </w:r>
          </w:p>
          <w:p>
            <w:pPr>
              <w:spacing w:before="0" w:after="0"/>
            </w:pPr>
            <w:r>
              <w:rPr/>
              <w:t xml:space="preserve">300억 규모 기타공사에 처음 적용한다는 전제로 서술 : 300억 원 규모의 기타공사에 최초 적용하는 경우, 주요 구조물의 적정 상세수준 모델링, 기본 속성정보, IFC 납품, 주요 간섭검토 및 BIM 기반 도면 작성은 필수로 적용하는 것이 적절함. 반면 과도한 상세 모델링, 추가 속성정보, 4D·5D 시뮬레이션 등은 권장사항으로 구분하고, 사업 특성과 활용 목적에 따라 단계적으로 확대할 필요가 있음.</w:t>
            </w:r>
          </w:p>
        </w:tc>
      </w:tr>
      <w:tr>
        <w:trPr>
          <w:cantSplit/>
        </w:trPr>
        <w:tc>
          <w:tcPr>
            <w:tcW w:w="4000" w:type="dxa"/>
          </w:tcPr>
          <w:p>
            <w:pPr>
              <w:spacing w:before="0" w:after="0"/>
            </w:pPr>
            <w:r>
              <w:rPr/>
              <w:t xml:space="preserve">B3. 2027년 확대 시 시장 공급 여력</w:t>
            </w:r>
          </w:p>
        </w:tc>
        <w:tc>
          <w:tcPr>
            <w:tcW w:w="5600" w:type="dxa"/>
          </w:tcPr>
          <w:p>
            <w:pPr>
              <w:spacing w:before="0" w:after="0"/>
            </w:pPr>
            <w:r>
              <w:rPr/>
              <w:t xml:space="preserve">선택 : 절대 인원 / 시설군별 경험</w:t>
            </w:r>
          </w:p>
          <w:p>
            <w:pPr>
              <w:spacing w:before="0" w:after="0"/>
            </w:pPr>
            <w:r>
              <w:rPr/>
              <w:t xml:space="preserve">선택 : 도로 / 철도</w:t>
            </w:r>
          </w:p>
          <w:p>
            <w:pPr>
              <w:spacing w:before="0" w:after="0"/>
            </w:pPr>
            <w:r>
              <w:rPr/>
              <w:t xml:space="preserve">공공 BIM 과업 수행 가능 전문업체 : 크게 부족</w:t>
            </w:r>
          </w:p>
          <w:p>
            <w:pPr>
              <w:spacing w:before="0" w:after="0"/>
            </w:pPr>
            <w:r>
              <w:rPr/>
              <w:t xml:space="preserve">실무 투입 가능 BIM 전문인력 : 크게 부족</w:t>
            </w:r>
          </w:p>
          <w:p>
            <w:pPr>
              <w:spacing w:before="0" w:after="0"/>
            </w:pPr>
            <w:r>
              <w:rPr/>
              <w:t xml:space="preserve">인력 확보에 걸리는 현실적 기간과 단축 방법 : BIM 모델링 인력은 일정 수준 확보가 가능하나, 설계·시공 실무를 이해하고 BIM 기반 공정·수량관리 및 성과품 품질검토까지 수행할 수 있는 숙련인력은 부족한 것으로 판단됨. 전문인력 양성에는 약 2~3년이 필요할 것으로 예상되며, 기존 토목기술자를 대상으로 한 BIM 실무교육과 현장 중심의 실증사업을 병행하고, 발주기관의 표준 업무체계 및 검수기준을 마련하여 인력 양성기간을 단축할 필요가 있음.</w:t>
            </w:r>
          </w:p>
        </w:tc>
      </w:tr>
      <w:tr>
        <w:trPr>
          <w:cantSplit/>
        </w:trPr>
        <w:tc>
          <w:tcPr>
            <w:tcW w:w="4000" w:type="dxa"/>
          </w:tcPr>
          <w:p>
            <w:pPr>
              <w:spacing w:before="0" w:after="0"/>
            </w:pPr>
            <w:r>
              <w:rPr/>
              <w:t xml:space="preserve">B4. 모델링 단가·기술 여건 추세</w:t>
            </w:r>
          </w:p>
        </w:tc>
        <w:tc>
          <w:tcPr>
            <w:tcW w:w="5600" w:type="dxa"/>
          </w:tcPr>
          <w:p>
            <w:pPr>
              <w:spacing w:before="0" w:after="0"/>
            </w:pPr>
            <w:r>
              <w:rPr/>
              <w:t xml:space="preserve">선택 : 철도 / 상하수도</w:t>
            </w:r>
          </w:p>
          <w:p>
            <w:pPr>
              <w:spacing w:before="0" w:after="0"/>
            </w:pPr>
            <w:r>
              <w:rPr/>
              <w:t xml:space="preserve">5년 전 대비 동일 물량 모델링 부담 : 다소 감소</w:t>
            </w:r>
          </w:p>
          <w:p>
            <w:pPr>
              <w:spacing w:before="0" w:after="0"/>
            </w:pPr>
            <w:r>
              <w:rPr/>
              <w:t xml:space="preserve">AI 자동 모델 생성 영향 시점 : 이미 시작</w:t>
            </w:r>
          </w:p>
          <w:p>
            <w:pPr>
              <w:spacing w:before="0" w:after="0"/>
            </w:pPr>
            <w:r>
              <w:rPr/>
              <w:t xml:space="preserve">부담이 줄어든다면 어떤 시기·조건에서? 근거와 불확실성 : 최근 5년간 BIM 모델링 도구의 발전과 자동화 기술 적용으로 동일 물량에 대한 모델링 부담은 다소 감소한 것으로 판단됨. 특히 반복 구조물은 표준 라이브러리와 자동화 도구를 활용하여 생산성 향상이 가능하며, AI 기반 모델 생성 기술도 일부 적용되기 시작함. 다만 시설물별 표준객체와 분류체계가 정립되고 설계정보의 표준화가 이루어져야 실질적인 비용 절감이 가능하며, 비정형 구조물과 복잡한 지하 시설물은 자동화 적용에 한계가 있어 절감 효과에 차이가 발생할 것으로 판단됨.</w:t>
            </w:r>
          </w:p>
        </w:tc>
      </w:tr>
      <w:tr>
        <w:trPr>
          <w:cantSplit/>
        </w:trPr>
        <w:tc>
          <w:tcPr>
            <w:tcW w:w="4000" w:type="dxa"/>
          </w:tcPr>
          <w:p>
            <w:pPr>
              <w:spacing w:before="0" w:after="0"/>
            </w:pPr>
            <w:r>
              <w:rPr/>
              <w:t xml:space="preserve">B5. 성과품 검수 체계와 데이터 축적</w:t>
            </w:r>
          </w:p>
        </w:tc>
        <w:tc>
          <w:tcPr>
            <w:tcW w:w="5600" w:type="dxa"/>
          </w:tcPr>
          <w:p>
            <w:pPr>
              <w:spacing w:before="0" w:after="0"/>
            </w:pPr>
            <w:r>
              <w:rPr/>
              <w:t xml:space="preserve">선택 : 검출 오류 건수 / 검수 지적사항</w:t>
            </w:r>
          </w:p>
          <w:p>
            <w:pPr>
              <w:spacing w:before="0" w:after="0"/>
            </w:pPr>
            <w:r>
              <w:rPr/>
              <w:t xml:space="preserve">선택 : 5건 내외</w:t>
            </w:r>
          </w:p>
          <w:p>
            <w:pPr>
              <w:spacing w:before="0" w:after="0"/>
            </w:pPr>
            <w:r>
              <w:rPr/>
              <w:t xml:space="preserve">발주부서 자문회의 형식 검수 실효성 : 미흡</w:t>
            </w:r>
          </w:p>
          <w:p>
            <w:pPr>
              <w:spacing w:before="0" w:after="0"/>
            </w:pPr>
            <w:r>
              <w:rPr/>
              <w:t xml:space="preserve">관리시스템 자동검수 통과를 이행 기준으로 삼는 방식 : 보완 필요</w:t>
            </w:r>
          </w:p>
          <w:p>
            <w:pPr>
              <w:spacing w:before="0" w:after="0"/>
            </w:pPr>
            <w:r>
              <w:rPr/>
              <w:t xml:space="preserve">외부 접속 제한 상태에서 '27년 확대 가능? : 외부망 선행</w:t>
            </w:r>
          </w:p>
          <w:p>
            <w:pPr>
              <w:spacing w:before="0" w:after="0"/>
            </w:pPr>
            <w:r>
              <w:rPr/>
              <w:t xml:space="preserve">검증 데이터 축적 후 다음 단계 이행 방식 : 타당</w:t>
            </w:r>
          </w:p>
        </w:tc>
      </w:tr>
      <w:tr>
        <w:trPr>
          <w:cantSplit/>
        </w:trPr>
        <w:tc>
          <w:tcPr>
            <w:tcW w:w="4000" w:type="dxa"/>
          </w:tcPr>
          <w:p>
            <w:pPr>
              <w:spacing w:before="0" w:after="0"/>
            </w:pPr>
            <w:r>
              <w:rPr/>
              <w:t xml:space="preserve">B6. 서울시가 국가 기준을 토대로 자체 마련 가능한 것</w:t>
            </w:r>
          </w:p>
        </w:tc>
        <w:tc>
          <w:tcPr>
            <w:tcW w:w="5600" w:type="dxa"/>
          </w:tcPr>
          <w:p>
            <w:pPr>
              <w:spacing w:before="0" w:after="0"/>
            </w:pPr>
            <w:r>
              <w:rPr/>
              <w:t xml:space="preserve">1순위 : 검수 기준·체크리스트</w:t>
            </w:r>
          </w:p>
          <w:p>
            <w:pPr>
              <w:spacing w:before="0" w:after="0"/>
            </w:pPr>
            <w:r>
              <w:rPr/>
              <w:t xml:space="preserve">2순위 : 대가 준용기준(자체)</w:t>
            </w:r>
          </w:p>
          <w:p>
            <w:pPr>
              <w:spacing w:before="0" w:after="0"/>
            </w:pPr>
            <w:r>
              <w:rPr/>
              <w:t xml:space="preserve">3순위 : 과업내용서 표준안</w:t>
            </w:r>
          </w:p>
          <w:p>
            <w:pPr>
              <w:spacing w:before="0" w:after="0"/>
            </w:pPr>
            <w:r>
              <w:rPr/>
              <w:t xml:space="preserve">1순위 항목이 실제로 효과를 내려면 어떤 형태여야? : BIM 성과품의 품질 확보를 위해서는 발주부서별로 동일하게 적용할 수 있는 표준 검수기준과 체크리스트 마련이 필요함. 단순 서류 확인이 아닌 모델의 형상, 속성정보, 분류체계, 설계도서와의 일치 여부 등을 객관적으로 검증할 수 있도록 자동검수와 전문가 검토를 병행해야 함. 또한 검수 결과에 따른 보완 및 재검수 절차를 체계화하여 발주기관과 수행업체 간 성과품의 신뢰성을 확보할 필요가 있음.</w:t>
            </w:r>
          </w:p>
        </w:tc>
      </w:tr>
      <w:tr>
        <w:trPr>
          <w:cantSplit/>
        </w:trPr>
        <w:tc>
          <w:tcPr>
            <w:tcW w:w="4000" w:type="dxa"/>
          </w:tcPr>
          <w:p>
            <w:pPr>
              <w:spacing w:before="0" w:after="0"/>
            </w:pPr>
            <w:r>
              <w:rPr/>
              <w:t xml:space="preserve">B7. BIM 설계대가 기준의 전망</w:t>
            </w:r>
          </w:p>
        </w:tc>
        <w:tc>
          <w:tcPr>
            <w:tcW w:w="5600" w:type="dxa"/>
          </w:tcPr>
          <w:p>
            <w:pPr>
              <w:spacing w:before="0" w:after="0"/>
            </w:pPr>
            <w:r>
              <w:rPr/>
              <w:t xml:space="preserve">선택 : ① 분야별로 계속 신설될 것</w:t>
            </w:r>
          </w:p>
          <w:p>
            <w:pPr>
              <w:spacing w:before="0" w:after="0"/>
            </w:pPr>
            <w:r>
              <w:rPr/>
              <w:t xml:space="preserve">발주기관 자체 대가기준 개발·용역 발주 사례 (아는 범위) : 국가철도공단은 기존 노반·궤도 외 건축·전철전력·신호·통신·기계·차량기지 등 6개 분야의 BIM 설계대가 산정기준 수립 연구용역을 추진하고 있으며, LH에서도 BIM 설계대가 및 인센티브 관련 연구를 수행한 사례가 있음.</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BIM 성과품의 검수와 실무 활용이 가능하도록 발주기관의 전문인력, 전담조직 및 데이터 관리체계를 확보해야 함.</w:t>
            </w:r>
          </w:p>
          <w:p>
            <w:pPr>
              <w:spacing w:before="0" w:after="0"/>
            </w:pPr>
            <w:r>
              <w:rPr/>
              <w:t xml:space="preserve">공공이 지원할 것 : BIM 전문인력 양성, 표준 라이브러리 구축 및 시범사업 운영을 지원하여 민간의 초기 도입 부담을 완화해야 함.</w:t>
            </w:r>
          </w:p>
          <w:p>
            <w:pPr>
              <w:spacing w:before="0" w:after="0"/>
            </w:pPr>
            <w:r>
              <w:rPr/>
              <w:t xml:space="preserve">공공이 제도·기준으로 정할 것 : 시설군별 적정 대가와 과업범위, 성과품 검수기준을 명확히 하고 BIM 성과품의 기존 설계도서 대체·활용 근거를 마련해야 함.</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BIM 적용 대상의 일률적인 확대보다는 발주기관의 전문인력, 성과품 검수체계 및 데이터 활용 환경 등 실질적인 운영 역량을 고려한 단계적 확대방안이 로드맵에 반영되어야 함. 우선 1,000억 원 이상 대형사업을 중심으로 적용성과를 검증하고, 시설군별 적정 대가와 과업범위, 표준 검수기준을 정비한 후 300억 원 이상 사업으로 확대하는 것이 바람직함. 특히 BIM 성과품이 기존 설계도서와 중복 작성되지 않고 시공 및 유지관리 단계까지 연계·활용될 수 있도록 제도적 기반을 마련해야 함.</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시공·유지관리 연계 (활용처 발굴) / 적용 성과 데이터 축적·분석</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경제적 효과를 수치로 보여주는 사업은 확인이 어려움.</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유선·화상 가능</w:t>
            </w:r>
          </w:p>
        </w:tc>
      </w:tr>
    </w:tbl>
    <w:p>
      <w:pPr>
        <w:spacing w:before="360" w:after="0"/>
      </w:pPr>
    </w:p>
    <w:p>
      <w:pPr>
        <w:jc w:val="center"/>
        <w:spacing w:before="0" w:after="120"/>
      </w:pPr>
      <w:r>
        <w:rPr/>
        <w:t xml:space="preserve">2026.10.26</w:t>
      </w:r>
    </w:p>
    <w:p>
      <w:pPr>
        <w:jc w:val="center"/>
        <w:spacing w:before="0" w:after="0"/>
      </w:pPr>
      <w:r>
        <w:rPr/>
        <w:t xml:space="preserve">자문위원 : (주)한울씨앤비 상무  김진영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