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center"/>
        <w:spacing w:before="0" w:after="240"/>
      </w:pPr>
      <w:r>
        <w:rPr>
          <w:b/>
          <w:sz w:val="36"/>
          <w:szCs w:val="36"/>
        </w:rPr>
        <w:t xml:space="preserve">자문 의견서</w:t>
      </w:r>
    </w:p>
    <w:p>
      <w:pPr>
        <w:pBdr>
          <w:bottom w:val="single" w:sz="12" w:space="1" w:color="000000"/>
        </w:pBdr>
        <w:spacing w:before="120" w:after="120"/>
      </w:pPr>
      <w:r>
        <w:rPr>
          <w:b/>
          <w:sz w:val="24"/>
          <w:szCs w:val="24"/>
        </w:rPr>
        <w:t xml:space="preserve">Ⅰ. 자문위원 인적사항</w:t>
      </w:r>
    </w:p>
    <w:tbl>
      <w:tblPr>
        <w:tblW w:w="960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CellMar>
          <w:top w:w="60" w:type="dxa"/>
          <w:left w:w="100" w:type="dxa"/>
          <w:bottom w:w="60" w:type="dxa"/>
          <w:right w:w="100" w:type="dxa"/>
        </w:tblCellMar>
      </w:tblPr>
      <w:tblGrid>
        <w:gridCol w:w="2300"/>
        <w:gridCol w:w="7300"/>
      </w:tblGrid>
      <w:tr>
        <w:tc>
          <w:tcPr>
            <w:tcW w:w="2300" w:type="dxa"/>
            <w:shd w:val="clear" w:color="auto" w:fill="F3F5F8"/>
          </w:tcPr>
          <w:p>
            <w:pPr>
              <w:spacing w:before="0" w:after="0"/>
            </w:pPr>
            <w:r>
              <w:rPr>
                <w:b/>
              </w:rPr>
              <w:t xml:space="preserve">성명</w:t>
            </w:r>
          </w:p>
        </w:tc>
        <w:tc>
          <w:tcPr>
            <w:tcW w:w="7300" w:type="dxa"/>
          </w:tcPr>
          <w:p>
            <w:pPr>
              <w:spacing w:before="0" w:after="0"/>
            </w:pPr>
            <w:r>
              <w:rPr/>
              <w:t xml:space="preserve">김홍조</w:t>
            </w:r>
          </w:p>
        </w:tc>
      </w:tr>
      <w:tr>
        <w:tc>
          <w:tcPr>
            <w:tcW w:w="2300" w:type="dxa"/>
            <w:shd w:val="clear" w:color="auto" w:fill="F3F5F8"/>
          </w:tcPr>
          <w:p>
            <w:pPr>
              <w:spacing w:before="0" w:after="0"/>
            </w:pPr>
            <w:r>
              <w:rPr>
                <w:b/>
              </w:rPr>
              <w:t xml:space="preserve">소속</w:t>
            </w:r>
          </w:p>
        </w:tc>
        <w:tc>
          <w:tcPr>
            <w:tcW w:w="7300" w:type="dxa"/>
          </w:tcPr>
          <w:p>
            <w:pPr>
              <w:spacing w:before="0" w:after="0"/>
            </w:pPr>
            <w:r>
              <w:rPr/>
              <w:t xml:space="preserve">연세대학교 건설환경공학과</w:t>
            </w:r>
          </w:p>
        </w:tc>
      </w:tr>
      <w:tr>
        <w:tc>
          <w:tcPr>
            <w:tcW w:w="2300" w:type="dxa"/>
            <w:shd w:val="clear" w:color="auto" w:fill="F3F5F8"/>
          </w:tcPr>
          <w:p>
            <w:pPr>
              <w:spacing w:before="0" w:after="0"/>
            </w:pPr>
            <w:r>
              <w:rPr>
                <w:b/>
              </w:rPr>
              <w:t xml:space="preserve">직위</w:t>
            </w:r>
          </w:p>
        </w:tc>
        <w:tc>
          <w:tcPr>
            <w:tcW w:w="7300" w:type="dxa"/>
          </w:tcPr>
          <w:p>
            <w:pPr>
              <w:spacing w:before="0" w:after="0"/>
            </w:pPr>
            <w:r>
              <w:rPr/>
              <w:t xml:space="preserve">부교수</w:t>
            </w:r>
          </w:p>
        </w:tc>
      </w:tr>
      <w:tr>
        <w:tc>
          <w:tcPr>
            <w:tcW w:w="2300" w:type="dxa"/>
            <w:shd w:val="clear" w:color="auto" w:fill="F3F5F8"/>
          </w:tcPr>
          <w:p>
            <w:pPr>
              <w:spacing w:before="0" w:after="0"/>
            </w:pPr>
            <w:r>
              <w:rPr>
                <w:b/>
              </w:rPr>
              <w:t xml:space="preserve">응답 분야</w:t>
            </w:r>
          </w:p>
        </w:tc>
        <w:tc>
          <w:tcPr>
            <w:tcW w:w="7300" w:type="dxa"/>
          </w:tcPr>
          <w:p>
            <w:pPr>
              <w:spacing w:before="0" w:after="0"/>
            </w:pPr>
            <w:r>
              <w:rPr/>
              <w:t xml:space="preserve">① 대학·연구기관 소속 → 학계</w:t>
            </w:r>
          </w:p>
        </w:tc>
      </w:tr>
      <w:tr>
        <w:tc>
          <w:tcPr>
            <w:tcW w:w="2300" w:type="dxa"/>
            <w:shd w:val="clear" w:color="auto" w:fill="F3F5F8"/>
          </w:tcPr>
          <w:p>
            <w:pPr>
              <w:spacing w:before="0" w:after="0"/>
            </w:pPr>
            <w:r>
              <w:rPr>
                <w:b/>
              </w:rPr>
              <w:t xml:space="preserve">경력·BIM 실적</w:t>
            </w:r>
          </w:p>
        </w:tc>
        <w:tc>
          <w:tcPr>
            <w:tcW w:w="7300" w:type="dxa"/>
          </w:tcPr>
          <w:p>
            <w:pPr>
              <w:spacing w:before="0" w:after="0"/>
            </w:pPr>
            <w:r>
              <w:rPr/>
              <w:t xml:space="preserve">총 9년 (BIM 0년) / 공공 0건 · 민간 10건</w:t>
            </w:r>
          </w:p>
        </w:tc>
      </w:tr>
      <w:tr>
        <w:tc>
          <w:tcPr>
            <w:tcW w:w="2300" w:type="dxa"/>
            <w:shd w:val="clear" w:color="auto" w:fill="F3F5F8"/>
          </w:tcPr>
          <w:p>
            <w:pPr>
              <w:spacing w:before="0" w:after="0"/>
            </w:pPr>
            <w:r>
              <w:rPr>
                <w:b/>
              </w:rPr>
              <w:t xml:space="preserve">주요 수행 시설군</w:t>
            </w:r>
          </w:p>
        </w:tc>
        <w:tc>
          <w:tcPr>
            <w:tcW w:w="7300" w:type="dxa"/>
          </w:tcPr>
          <w:p>
            <w:pPr>
              <w:spacing w:before="0" w:after="0"/>
            </w:pPr>
            <w:r>
              <w:rPr/>
              <w:t xml:space="preserve">-</w:t>
            </w:r>
          </w:p>
        </w:tc>
      </w:tr>
      <w:tr>
        <w:tc>
          <w:tcPr>
            <w:tcW w:w="2300" w:type="dxa"/>
            <w:shd w:val="clear" w:color="auto" w:fill="F3F5F8"/>
          </w:tcPr>
          <w:p>
            <w:pPr>
              <w:spacing w:before="0" w:after="0"/>
            </w:pPr>
            <w:r>
              <w:rPr>
                <w:b/>
              </w:rPr>
              <w:t xml:space="preserve">회신일</w:t>
            </w:r>
          </w:p>
        </w:tc>
        <w:tc>
          <w:tcPr>
            <w:tcW w:w="7300" w:type="dxa"/>
          </w:tcPr>
          <w:p>
            <w:pPr>
              <w:spacing w:before="0" w:after="0"/>
            </w:pPr>
            <w:r>
              <w:rPr/>
              <w:t xml:space="preserve">2026.10.28</w:t>
            </w:r>
          </w:p>
        </w:tc>
      </w:tr>
    </w:tbl>
    <w:p>
      <w:pPr>
        <w:pBdr>
          <w:bottom w:val="single" w:sz="12" w:space="1" w:color="000000"/>
        </w:pBdr>
        <w:spacing w:before="280" w:after="120"/>
      </w:pPr>
      <w:r>
        <w:rPr>
          <w:b/>
          <w:sz w:val="24"/>
          <w:szCs w:val="24"/>
        </w:rPr>
        <w:t xml:space="preserve">Ⅱ. 공통 문항 (Q1~Q11 · 모든 응답자)</w:t>
      </w:r>
    </w:p>
    <w:tbl>
      <w:tblPr>
        <w:tblW w:w="960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CellMar>
          <w:top w:w="60" w:type="dxa"/>
          <w:left w:w="100" w:type="dxa"/>
          <w:bottom w:w="60" w:type="dxa"/>
          <w:right w:w="100" w:type="dxa"/>
        </w:tblCellMar>
      </w:tblPr>
      <w:tblGrid>
        <w:gridCol w:w="4000"/>
        <w:gridCol w:w="5600"/>
      </w:tblGrid>
      <w:tr>
        <w:trPr>
          <w:tblHeader/>
        </w:trPr>
        <w:tc>
          <w:tcPr>
            <w:tcW w:w="4000" w:type="dxa"/>
            <w:shd w:val="clear" w:color="auto" w:fill="E8EDF3"/>
          </w:tcPr>
          <w:p>
            <w:pPr>
              <w:jc w:val="center"/>
              <w:spacing w:before="0" w:after="0"/>
            </w:pPr>
            <w:r>
              <w:rPr>
                <w:b/>
              </w:rPr>
              <w:t xml:space="preserve">문항</w:t>
            </w:r>
          </w:p>
        </w:tc>
        <w:tc>
          <w:tcPr>
            <w:tcW w:w="5600" w:type="dxa"/>
            <w:shd w:val="clear" w:color="auto" w:fill="E8EDF3"/>
          </w:tcPr>
          <w:p>
            <w:pPr>
              <w:jc w:val="center"/>
              <w:spacing w:before="0" w:after="0"/>
            </w:pPr>
            <w:r>
              <w:rPr>
                <w:b/>
              </w:rPr>
              <w:t xml:space="preserve">자문 의견</w:t>
            </w:r>
          </w:p>
        </w:tc>
      </w:tr>
      <w:tr>
        <w:trPr>
          <w:cantSplit/>
        </w:trPr>
        <w:tc>
          <w:tcPr>
            <w:tcW w:w="4000" w:type="dxa"/>
          </w:tcPr>
          <w:p>
            <w:pPr>
              <w:spacing w:before="0" w:after="0"/>
            </w:pPr>
            <w:r>
              <w:rPr/>
              <w:t xml:space="preserve">Q1. 2027년 '300억↑ 기타공사(토목은 구조물 포함)' 확대가 현장에서 가능하겠습니까?</w:t>
            </w:r>
          </w:p>
        </w:tc>
        <w:tc>
          <w:tcPr>
            <w:tcW w:w="5600" w:type="dxa"/>
          </w:tcPr>
          <w:p>
            <w:pPr>
              <w:spacing w:before="0" w:after="0"/>
            </w:pPr>
            <w:r>
              <w:rPr/>
              <w:t xml:space="preserve">선택 : ② 선결조건이 충족되면 가능</w:t>
            </w:r>
          </w:p>
          <w:p>
            <w:pPr>
              <w:spacing w:before="0" w:after="0"/>
            </w:pPr>
            <w:r>
              <w:rPr/>
              <w:t xml:space="preserve">그렇게 판단하시는 이유 : 2027년 확대 방향에는 동의한다. 다만 공사비만으로 일률 적용하면 모델 납품 자체가 목적이 될 수 있다. 발주 전에 활용 목적, 공종별 필수 정보와 상세수준, 추가 업무 대가, 검수 담당자 및 절차를 확정한 사업부터 시행하는 것이 적절하다. 300억~500억원 구간은 주요 구조물의 간섭검토·설계 정합성 확인부터 시작하고, 공정 및 유지관리 연계는 별도 과업과 예산을 확보하여 확대하는 것이 필요할 것으로 생각한다.</w:t>
            </w:r>
          </w:p>
        </w:tc>
      </w:tr>
      <w:tr>
        <w:trPr>
          <w:cantSplit/>
        </w:trPr>
        <w:tc>
          <w:tcPr>
            <w:tcW w:w="4000" w:type="dxa"/>
          </w:tcPr>
          <w:p>
            <w:pPr>
              <w:spacing w:before="0" w:after="0"/>
            </w:pPr>
            <w:r>
              <w:rPr/>
              <w:t xml:space="preserve">Q1-2. 현행 방침대로 '27년에 시행할 경우, 가장 우려되는 문제는?</w:t>
            </w:r>
          </w:p>
        </w:tc>
        <w:tc>
          <w:tcPr>
            <w:tcW w:w="5600" w:type="dxa"/>
          </w:tcPr>
          <w:p>
            <w:pPr>
              <w:spacing w:before="0" w:after="0"/>
            </w:pPr>
            <w:r>
              <w:rPr/>
              <w:t xml:space="preserve">선택 : 이행 담보 : BIM 평가·확인 장치 미비 (형식적 이행) / 검수 : 성과품 검수 체계·인력 미비</w:t>
            </w:r>
          </w:p>
          <w:p>
            <w:pPr>
              <w:spacing w:before="0" w:after="0"/>
            </w:pPr>
            <w:r>
              <w:rPr/>
              <w:t xml:space="preserve">가장 우려되는 문제가 실제로 어떤 형태로 나타날지 적어 주십시오 : 완성된 2D 설계를 사후에 3D로 옮겨 납품하고 실제 설계 의사결정에는 활용하지 않는 형식적 이행이 우려된다. 발주기관이 파일 열람과 외형 확인만으로 검수를 마치면 속성 누락, 도면·모델 불일치, 미해결 간섭이 남아도 확인하기 어렵다. 이는 직접 수행 사례의 진술이 아니라 제도 설계상 예상되는 문제이다.</w:t>
            </w:r>
          </w:p>
        </w:tc>
      </w:tr>
      <w:tr>
        <w:trPr>
          <w:cantSplit/>
        </w:trPr>
        <w:tc>
          <w:tcPr>
            <w:tcW w:w="4000" w:type="dxa"/>
          </w:tcPr>
          <w:p>
            <w:pPr>
              <w:spacing w:before="0" w:after="0"/>
            </w:pPr>
            <w:r>
              <w:rPr/>
              <w:t xml:space="preserve">Q2. 확대에 앞서 반드시 갖춰져야 할 것</w:t>
            </w:r>
          </w:p>
        </w:tc>
        <w:tc>
          <w:tcPr>
            <w:tcW w:w="5600" w:type="dxa"/>
          </w:tcPr>
          <w:p>
            <w:pPr>
              <w:spacing w:before="0" w:after="0"/>
            </w:pPr>
            <w:r>
              <w:rPr/>
              <w:t xml:space="preserve">선택 : BIM 설계대가 산정 근거 / 성과품 요구수준의 명확화 (필수/권장) / 성과품 검수 기준·절차</w:t>
            </w:r>
          </w:p>
          <w:p>
            <w:pPr>
              <w:spacing w:before="0" w:after="0"/>
            </w:pPr>
            <w:r>
              <w:rPr/>
              <w:t xml:space="preserve">가장 시급한 1개를 고르신다면, 구체적으로 어떤 형태로 마련되어야 합니까? : 가장 시급한 것은 성과품 요구수준의 명확화이다. 시설군·사업단계·활용 목적별로 필수 객체, 형상·속성 정보, 좌표체계, 교환 형식, 제출 시점, 검수 항목을 묶은 표준 과업서가 필요하다. 필수와 선택 업무를 구분하고 각 항목의 대가 및 합격 기준을 연결해야 한다. LOD 숫자만 제시하기보다 어떤 판단에 어떤 정보를 사용할지 명시해야 한다.</w:t>
            </w:r>
          </w:p>
        </w:tc>
      </w:tr>
      <w:tr>
        <w:trPr>
          <w:cantSplit/>
        </w:trPr>
        <w:tc>
          <w:tcPr>
            <w:tcW w:w="4000" w:type="dxa"/>
          </w:tcPr>
          <w:p>
            <w:pPr>
              <w:spacing w:before="0" w:after="0"/>
            </w:pPr>
            <w:r>
              <w:rPr/>
              <w:t xml:space="preserve">Q3. 시설군별·단계별 지금 확대 가능 범위</w:t>
            </w:r>
          </w:p>
        </w:tc>
        <w:tc>
          <w:tcPr>
            <w:tcW w:w="5600" w:type="dxa"/>
          </w:tcPr>
          <w:p>
            <w:pPr>
              <w:spacing w:before="0" w:after="0"/>
            </w:pPr>
            <w:r>
              <w:rPr/>
              <w:t xml:space="preserve">도로(선형) (설계단계 BIM 적용) : ○</w:t>
            </w:r>
          </w:p>
          <w:p>
            <w:pPr>
              <w:spacing w:before="0" w:after="0"/>
            </w:pPr>
            <w:r>
              <w:rPr/>
              <w:t xml:space="preserve">도로(선형) (시공단계 연계) : △</w:t>
            </w:r>
          </w:p>
          <w:p>
            <w:pPr>
              <w:spacing w:before="0" w:after="0"/>
            </w:pPr>
            <w:r>
              <w:rPr/>
              <w:t xml:space="preserve">교량 (설계단계 BIM 적용) : ○</w:t>
            </w:r>
          </w:p>
          <w:p>
            <w:pPr>
              <w:spacing w:before="0" w:after="0"/>
            </w:pPr>
            <w:r>
              <w:rPr/>
              <w:t xml:space="preserve">교량 (시공단계 연계) : △</w:t>
            </w:r>
          </w:p>
          <w:p>
            <w:pPr>
              <w:spacing w:before="0" w:after="0"/>
            </w:pPr>
            <w:r>
              <w:rPr/>
              <w:t xml:space="preserve">터널·지하구조물 (설계단계 BIM 적용) : ○</w:t>
            </w:r>
          </w:p>
          <w:p>
            <w:pPr>
              <w:spacing w:before="0" w:after="0"/>
            </w:pPr>
            <w:r>
              <w:rPr/>
              <w:t xml:space="preserve">터널·지하구조물 (시공단계 연계) : △</w:t>
            </w:r>
          </w:p>
          <w:p>
            <w:pPr>
              <w:spacing w:before="0" w:after="0"/>
            </w:pPr>
            <w:r>
              <w:rPr/>
              <w:t xml:space="preserve">철도(도시철도) (설계단계 BIM 적용) : ○</w:t>
            </w:r>
          </w:p>
          <w:p>
            <w:pPr>
              <w:spacing w:before="0" w:after="0"/>
            </w:pPr>
            <w:r>
              <w:rPr/>
              <w:t xml:space="preserve">철도(도시철도) (시공단계 연계) : △</w:t>
            </w:r>
          </w:p>
          <w:p>
            <w:pPr>
              <w:spacing w:before="0" w:after="0"/>
            </w:pPr>
            <w:r>
              <w:rPr/>
              <w:t xml:space="preserve">공공건축 (설계단계 BIM 적용) : −</w:t>
            </w:r>
          </w:p>
          <w:p>
            <w:pPr>
              <w:spacing w:before="0" w:after="0"/>
            </w:pPr>
            <w:r>
              <w:rPr/>
              <w:t xml:space="preserve">공공건축 (시공단계 연계) : −</w:t>
            </w:r>
          </w:p>
          <w:p>
            <w:pPr>
              <w:spacing w:before="0" w:after="0"/>
            </w:pPr>
            <w:r>
              <w:rPr/>
              <w:t xml:space="preserve">상·하수도 (설계단계 BIM 적용) : ○</w:t>
            </w:r>
          </w:p>
          <w:p>
            <w:pPr>
              <w:spacing w:before="0" w:after="0"/>
            </w:pPr>
            <w:r>
              <w:rPr/>
              <w:t xml:space="preserve">상·하수도 (시공단계 연계) : △</w:t>
            </w:r>
          </w:p>
          <w:p>
            <w:pPr>
              <w:spacing w:before="0" w:after="0"/>
            </w:pPr>
            <w:r>
              <w:rPr/>
              <w:t xml:space="preserve">하천·치수 (설계단계 BIM 적용) : −</w:t>
            </w:r>
          </w:p>
          <w:p>
            <w:pPr>
              <w:spacing w:before="0" w:after="0"/>
            </w:pPr>
            <w:r>
              <w:rPr/>
              <w:t xml:space="preserve">하천·치수 (시공단계 연계) : −</w:t>
            </w:r>
          </w:p>
          <w:p>
            <w:pPr>
              <w:spacing w:before="0" w:after="0"/>
            </w:pPr>
            <w:r>
              <w:rPr/>
              <w:t xml:space="preserve">공동구·지하시설물 (설계단계 BIM 적용) : −</w:t>
            </w:r>
          </w:p>
          <w:p>
            <w:pPr>
              <w:spacing w:before="0" w:after="0"/>
            </w:pPr>
            <w:r>
              <w:rPr/>
              <w:t xml:space="preserve">공동구·지하시설물 (시공단계 연계) : −</w:t>
            </w:r>
          </w:p>
        </w:tc>
      </w:tr>
      <w:tr>
        <w:trPr>
          <w:cantSplit/>
        </w:trPr>
        <w:tc>
          <w:tcPr>
            <w:tcW w:w="4000" w:type="dxa"/>
          </w:tcPr>
          <w:p>
            <w:pPr>
              <w:spacing w:before="0" w:after="0"/>
            </w:pPr>
            <w:r>
              <w:rPr/>
              <w:t xml:space="preserve">Q3-2. 총공사비 구간별 '27년 BIM 적용 가능성</w:t>
            </w:r>
          </w:p>
        </w:tc>
        <w:tc>
          <w:tcPr>
            <w:tcW w:w="5600" w:type="dxa"/>
          </w:tcPr>
          <w:p>
            <w:pPr>
              <w:spacing w:before="0" w:after="0"/>
            </w:pPr>
            <w:r>
              <w:rPr/>
              <w:t xml:space="preserve">300억~500억 미만 : △ 주요 구조물 중심이면 가능</w:t>
            </w:r>
          </w:p>
          <w:p>
            <w:pPr>
              <w:spacing w:before="0" w:after="0"/>
            </w:pPr>
            <w:r>
              <w:rPr/>
              <w:t xml:space="preserve">500억~1,000억 미만 : △ 주요 구조물 중심이면 가능</w:t>
            </w:r>
          </w:p>
          <w:p>
            <w:pPr>
              <w:spacing w:before="0" w:after="0"/>
            </w:pPr>
            <w:r>
              <w:rPr/>
              <w:t xml:space="preserve">1,000억 이상 : △ 주요 구조물 중심이면 가능</w:t>
            </w:r>
          </w:p>
          <w:p>
            <w:pPr>
              <w:spacing w:before="0" w:after="0"/>
            </w:pPr>
            <w:r>
              <w:rPr/>
              <w:t xml:space="preserve">구간별로 판단이 다르다면 그 이유 : 규모가 클수록 전담인력과 비용을 확보할 여지는 크지만, 공사비가 전체 공종의 수행 및 검수 역량을 보장하지는 않는다. 세 구간 모두 주요 구조물 중심 적용은 검토할 수 있으며, 대형 또는 복합사업은 준비도 평가를 거쳐 적용 범위를 넓히는 것이 적절하다.</w:t>
            </w:r>
          </w:p>
        </w:tc>
      </w:tr>
      <w:tr>
        <w:trPr>
          <w:cantSplit/>
        </w:trPr>
        <w:tc>
          <w:tcPr>
            <w:tcW w:w="4000" w:type="dxa"/>
          </w:tcPr>
          <w:p>
            <w:pPr>
              <w:spacing w:before="0" w:after="0"/>
            </w:pPr>
            <w:r>
              <w:rPr/>
              <w:t xml:space="preserve">Q4. Q3에서 ×로 표시하신 시설군(설계단계·시공단계 모두)은 무엇이 문제입니까?</w:t>
            </w:r>
          </w:p>
        </w:tc>
        <w:tc>
          <w:tcPr>
            <w:tcW w:w="5600" w:type="dxa"/>
          </w:tcPr>
          <w:p>
            <w:pPr>
              <w:spacing w:before="0" w:after="0"/>
            </w:pPr>
            <w:r>
              <w:rPr/>
              <w:t xml:space="preserve">시설군과 단계(설계·시공)를 함께 적어 주십시오. 표준·라이브러리 부재, 발주 관행, 모델 활용처 부족 등 구체적인 사유 : ×로 판단한 시설군은 없다. 시설군별 수행·검수 역량을 비교할 직접 자료가 없어 대부분이 판단하기 곤란하긴 하다. 응답자의 지식을 기반으로 적용 및 연계 수준을 응답하였다. 일반적으로 기존 지하시설물 정보의 불확실성, 비정형 지반·수리 정보, 설계·시공 간 모델 인계 책임은 별도 검토가 필요하며, 이를 해당 시설군 전체의 적용 불가로 해석해서는 안 된다.</w:t>
            </w:r>
          </w:p>
        </w:tc>
      </w:tr>
      <w:tr>
        <w:trPr>
          <w:cantSplit/>
        </w:trPr>
        <w:tc>
          <w:tcPr>
            <w:tcW w:w="4000" w:type="dxa"/>
          </w:tcPr>
          <w:p>
            <w:pPr>
              <w:spacing w:before="0" w:after="0"/>
            </w:pPr>
            <w:r>
              <w:rPr/>
              <w:t xml:space="preserve">Q5. '27년 적용 대상 기준으로 가장 적절한 안은?</w:t>
            </w:r>
          </w:p>
        </w:tc>
        <w:tc>
          <w:tcPr>
            <w:tcW w:w="5600" w:type="dxa"/>
          </w:tcPr>
          <w:p>
            <w:pPr>
              <w:spacing w:before="0" w:after="0"/>
            </w:pPr>
            <w:r>
              <w:rPr/>
              <w:t xml:space="preserve">1순위 : (가) A안(대상·시기 유지, 요구수준 단계화) — 300억↑ 기타공사, 토목은 구조물 포함, 상세수준은 주요 구조물 중심으로 시작해 단계 상향</w:t>
            </w:r>
          </w:p>
          <w:p>
            <w:pPr>
              <w:spacing w:before="0" w:after="0"/>
            </w:pPr>
            <w:r>
              <w:rPr/>
              <w:t xml:space="preserve">2순위 : (다) C안 — 500억↑(타당성조사 대상)부터, 토목은 교량·지하구조물 등 주요 구조물 포함 공사</w:t>
            </w:r>
          </w:p>
          <w:p>
            <w:pPr>
              <w:spacing w:before="0" w:after="0"/>
            </w:pPr>
            <w:r>
              <w:rPr/>
              <w:t xml:space="preserve">1순위로 고르신 이유와, 그 안의 예상되는 부작용 : 확대 일정의 예측 가능성을 유지하면서 초기에는 주요 구조물과 활용성이 높은 업무에 집중할 수 있다. 다만 요구수준을 낮추는 과정에서 활용할 수 없는 최소 모델만 납품하는 부작용이 생길 수 있으므로, 핵심 활용 목적과 필수 정보, 검수 항목은 유지해야 한다. 2순위 C안은 준비가 부족한 경우의 대안이며, 300억~500억원 사업도 자발적 시범 적용과 성과 수집에는 참여할 수 있도록 한다.</w:t>
            </w:r>
          </w:p>
        </w:tc>
      </w:tr>
      <w:tr>
        <w:trPr>
          <w:cantSplit/>
        </w:trPr>
        <w:tc>
          <w:tcPr>
            <w:tcW w:w="4000" w:type="dxa"/>
          </w:tcPr>
          <w:p>
            <w:pPr>
              <w:spacing w:before="0" w:after="0"/>
            </w:pPr>
            <w:r>
              <w:rPr/>
              <w:t xml:space="preserve">Q6. 적용 확대 방식으로 어느 것이 현실적입니까?</w:t>
            </w:r>
          </w:p>
        </w:tc>
        <w:tc>
          <w:tcPr>
            <w:tcW w:w="5600" w:type="dxa"/>
          </w:tcPr>
          <w:p>
            <w:pPr>
              <w:spacing w:before="0" w:after="0"/>
            </w:pPr>
            <w:r>
              <w:rPr/>
              <w:t xml:space="preserve">선택 : ④ 금액 구간과 요구수준을 교차 적용 (독일 연방건축 사례)</w:t>
            </w:r>
          </w:p>
          <w:p>
            <w:pPr>
              <w:spacing w:before="0" w:after="0"/>
            </w:pPr>
            <w:r>
              <w:rPr/>
              <w:t xml:space="preserve">선택하신 이유와, 서울시에 적용할 때 유의할 점 : 공사비는 행정적 대상 선정에 활용하되, 실제 과업은 구조 복잡도, 공종 간 인터페이스, 활용 목적, 발주기관 준비도에 따라 차등화하는 것이 합리적이다. 금액 구간별 기본 과업과 복잡도에 따른 추가 과업을 표준화하고, 발주 후 요구가 늘어나는 경우에는 비용과 기간을 함께 조정해야 한다.</w:t>
            </w:r>
          </w:p>
        </w:tc>
      </w:tr>
      <w:tr>
        <w:trPr>
          <w:cantSplit/>
        </w:trPr>
        <w:tc>
          <w:tcPr>
            <w:tcW w:w="4000" w:type="dxa"/>
          </w:tcPr>
          <w:p>
            <w:pPr>
              <w:spacing w:before="0" w:after="0"/>
            </w:pPr>
            <w:r>
              <w:rPr/>
              <w:t xml:space="preserve">Q7. 총공사비 300억 원 기준선은 타당합니까?</w:t>
            </w:r>
          </w:p>
        </w:tc>
        <w:tc>
          <w:tcPr>
            <w:tcW w:w="5600" w:type="dxa"/>
          </w:tcPr>
          <w:p>
            <w:pPr>
              <w:spacing w:before="0" w:after="0"/>
            </w:pPr>
            <w:r>
              <w:rPr/>
              <w:t xml:space="preserve">선택 : ④ 금액 기준 자체가 적절하지 않다</w:t>
            </w:r>
          </w:p>
          <w:p>
            <w:pPr>
              <w:spacing w:before="0" w:after="0"/>
            </w:pPr>
            <w:r>
              <w:rPr/>
              <w:t xml:space="preserve">선택 : 구조물의 복잡도 (지하·복합구조 등) / 관련 공종의 수</w:t>
            </w:r>
          </w:p>
        </w:tc>
      </w:tr>
      <w:tr>
        <w:trPr>
          <w:cantSplit/>
        </w:trPr>
        <w:tc>
          <w:tcPr>
            <w:tcW w:w="4000" w:type="dxa"/>
          </w:tcPr>
          <w:p>
            <w:pPr>
              <w:spacing w:before="0" w:after="0"/>
            </w:pPr>
            <w:r>
              <w:rPr/>
              <w:t xml:space="preserve">Q8. '29년 '100억↑ 건축공사' 단계는 어떻게 보십니까?</w:t>
            </w:r>
          </w:p>
        </w:tc>
        <w:tc>
          <w:tcPr>
            <w:tcW w:w="5600" w:type="dxa"/>
          </w:tcPr>
          <w:p>
            <w:pPr>
              <w:spacing w:before="0" w:after="0"/>
            </w:pPr>
            <w:r>
              <w:rPr/>
              <w:t xml:space="preserve">선택 : ④ 판단 곤란</w:t>
            </w:r>
          </w:p>
        </w:tc>
      </w:tr>
      <w:tr>
        <w:trPr>
          <w:cantSplit/>
        </w:trPr>
        <w:tc>
          <w:tcPr>
            <w:tcW w:w="4000" w:type="dxa"/>
          </w:tcPr>
          <w:p>
            <w:pPr>
              <w:spacing w:before="0" w:after="0"/>
            </w:pPr>
            <w:r>
              <w:rPr/>
              <w:t xml:space="preserve">Q9. 국가(28년)보다 서울시가 1년 앞선('27년) 확대, 어떻게 보십니까?</w:t>
            </w:r>
          </w:p>
        </w:tc>
        <w:tc>
          <w:tcPr>
            <w:tcW w:w="5600" w:type="dxa"/>
          </w:tcPr>
          <w:p>
            <w:pPr>
              <w:spacing w:before="0" w:after="0"/>
            </w:pPr>
            <w:r>
              <w:rPr/>
              <w:t xml:space="preserve">서울시의 발주·공사관리·유지관리 여건을 고려하여 기재해 주십시오. : 첨부 양식에서 제시한 국가, 서울시 일정의 비교를 전제로 할 때, 1년 선행 자체보다 발주 준비도의 차이가 중요하다. 서울의 지하, 복합공사에서는 사전 간섭검토의 활용 가치가 클 수 있으나, 기존 시설물 자료와 기관 간 정보 연계가 부족하면 모델의 신뢰성이 낮아질 수 있다. 준비된 사업은 2027년부터 시행하고 준비가 부족한 사업은 과업 범위를 조정하되, 공통 검수 지원과 성과 측정을 병행할 것을 제안한다.</w:t>
            </w:r>
          </w:p>
        </w:tc>
      </w:tr>
      <w:tr>
        <w:trPr>
          <w:cantSplit/>
        </w:trPr>
        <w:tc>
          <w:tcPr>
            <w:tcW w:w="4000" w:type="dxa"/>
          </w:tcPr>
          <w:p>
            <w:pPr>
              <w:spacing w:before="0" w:after="0"/>
            </w:pPr>
            <w:r>
              <w:rPr/>
              <w:t xml:space="preserve">Q10. 국토부 후속 기준(대가·설계도서 기준 등) 미정비가 현장에 주는 영향</w:t>
            </w:r>
          </w:p>
        </w:tc>
        <w:tc>
          <w:tcPr>
            <w:tcW w:w="5600" w:type="dxa"/>
          </w:tcPr>
          <w:p>
            <w:pPr>
              <w:spacing w:before="0" w:after="0"/>
            </w:pPr>
            <w:r>
              <w:rPr/>
              <w:t xml:space="preserve">선택 : 크다</w:t>
            </w:r>
          </w:p>
          <w:p>
            <w:pPr>
              <w:spacing w:before="0" w:after="0"/>
            </w:pPr>
            <w:r>
              <w:rPr/>
              <w:t xml:space="preserve">현재 기준으로 처리하기 어려웠던 분야·업무가 있다면 적어 주십시오. : 직접 수행 중 처리에 어려움을 겪은 사례는 확인이 필요하다. 제도적으로는 설계, 시공, 준공 단계별 추가 업무의 구분, 모델 변경에 따른 대가 조정, 모델과 2D 도면의 불일치 처리, 분리 발주 시 인계·갱신 책임을 명확히 할 필요가 있다. 본 판단은 양식에 제시된 기준 정비 상황을 전제로 한다.</w:t>
            </w:r>
          </w:p>
        </w:tc>
      </w:tr>
      <w:tr>
        <w:trPr>
          <w:cantSplit/>
        </w:trPr>
        <w:tc>
          <w:tcPr>
            <w:tcW w:w="4000" w:type="dxa"/>
          </w:tcPr>
          <w:p>
            <w:pPr>
              <w:spacing w:before="0" w:after="0"/>
            </w:pPr>
            <w:r>
              <w:rPr/>
              <w:t xml:space="preserve">Q11. 타 발주기관(LH·SH·도로공사·국가철도공단 등) BIM 과업 수행 경험</w:t>
            </w:r>
          </w:p>
        </w:tc>
        <w:tc>
          <w:tcPr>
            <w:tcW w:w="5600" w:type="dxa"/>
          </w:tcPr>
          <w:p>
            <w:pPr>
              <w:spacing w:before="0" w:after="0"/>
            </w:pPr>
            <w:r>
              <w:rPr/>
              <w:t xml:space="preserve">선택 : 없음</w:t>
            </w:r>
          </w:p>
          <w:p>
            <w:pPr>
              <w:spacing w:before="0" w:after="0"/>
            </w:pPr>
            <w:r>
              <w:rPr/>
              <w:t xml:space="preserve">가장 크게 달랐던 점과, 서울시가 참고할 만한 부분 : -</w:t>
            </w:r>
          </w:p>
        </w:tc>
      </w:tr>
    </w:tbl>
    <w:p>
      <w:pPr>
        <w:pBdr>
          <w:bottom w:val="single" w:sz="12" w:space="1" w:color="000000"/>
        </w:pBdr>
        <w:spacing w:before="280" w:after="120"/>
      </w:pPr>
      <w:r>
        <w:rPr>
          <w:b/>
          <w:sz w:val="24"/>
          <w:szCs w:val="24"/>
        </w:rPr>
        <w:t xml:space="preserve">Ⅲ. BIM의 경제성에 대한 판단 (E1~E6 · 모든 응답자)</w:t>
      </w:r>
    </w:p>
    <w:tbl>
      <w:tblPr>
        <w:tblW w:w="960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CellMar>
          <w:top w:w="60" w:type="dxa"/>
          <w:left w:w="100" w:type="dxa"/>
          <w:bottom w:w="60" w:type="dxa"/>
          <w:right w:w="100" w:type="dxa"/>
        </w:tblCellMar>
      </w:tblPr>
      <w:tblGrid>
        <w:gridCol w:w="4000"/>
        <w:gridCol w:w="5600"/>
      </w:tblGrid>
      <w:tr>
        <w:trPr>
          <w:tblHeader/>
        </w:trPr>
        <w:tc>
          <w:tcPr>
            <w:tcW w:w="4000" w:type="dxa"/>
            <w:shd w:val="clear" w:color="auto" w:fill="E8EDF3"/>
          </w:tcPr>
          <w:p>
            <w:pPr>
              <w:jc w:val="center"/>
              <w:spacing w:before="0" w:after="0"/>
            </w:pPr>
            <w:r>
              <w:rPr>
                <w:b/>
              </w:rPr>
              <w:t xml:space="preserve">문항</w:t>
            </w:r>
          </w:p>
        </w:tc>
        <w:tc>
          <w:tcPr>
            <w:tcW w:w="5600" w:type="dxa"/>
            <w:shd w:val="clear" w:color="auto" w:fill="E8EDF3"/>
          </w:tcPr>
          <w:p>
            <w:pPr>
              <w:jc w:val="center"/>
              <w:spacing w:before="0" w:after="0"/>
            </w:pPr>
            <w:r>
              <w:rPr>
                <w:b/>
              </w:rPr>
              <w:t xml:space="preserve">자문 의견</w:t>
            </w:r>
          </w:p>
        </w:tc>
      </w:tr>
      <w:tr>
        <w:trPr>
          <w:cantSplit/>
        </w:trPr>
        <w:tc>
          <w:tcPr>
            <w:tcW w:w="4000" w:type="dxa"/>
          </w:tcPr>
          <w:p>
            <w:pPr>
              <w:spacing w:before="0" w:after="0"/>
            </w:pPr>
            <w:r>
              <w:rPr/>
              <w:t xml:space="preserve">E1. BIM 적용 시 설계 실제 투입(공수) 증가 수준</w:t>
            </w:r>
          </w:p>
        </w:tc>
        <w:tc>
          <w:tcPr>
            <w:tcW w:w="5600" w:type="dxa"/>
          </w:tcPr>
          <w:p>
            <w:pPr>
              <w:spacing w:before="0" w:after="0"/>
            </w:pPr>
            <w:r>
              <w:rPr/>
              <w:t xml:space="preserve">선택 : ⑤ 판단 곤란</w:t>
            </w:r>
          </w:p>
        </w:tc>
      </w:tr>
      <w:tr>
        <w:trPr>
          <w:cantSplit/>
        </w:trPr>
        <w:tc>
          <w:tcPr>
            <w:tcW w:w="4000" w:type="dxa"/>
          </w:tcPr>
          <w:p>
            <w:pPr>
              <w:spacing w:before="0" w:after="0"/>
            </w:pPr>
            <w:r>
              <w:rPr/>
              <w:t xml:space="preserve">E2. BIM으로 착공 전 발견되는 설계오류 규모</w:t>
            </w:r>
          </w:p>
        </w:tc>
        <w:tc>
          <w:tcPr>
            <w:tcW w:w="5600" w:type="dxa"/>
          </w:tcPr>
          <w:p>
            <w:pPr>
              <w:spacing w:before="0" w:after="0"/>
            </w:pPr>
            <w:r>
              <w:rPr/>
              <w:t xml:space="preserve">선택 : ⑤ 판단 곤란</w:t>
            </w:r>
          </w:p>
          <w:p>
            <w:pPr>
              <w:spacing w:before="0" w:after="0"/>
            </w:pPr>
            <w:r>
              <w:rPr/>
              <w:t xml:space="preserve">1건당 착공 전 발견 간섭·오류 건수 : 판단곤란</w:t>
            </w:r>
          </w:p>
          <w:p>
            <w:pPr>
              <w:spacing w:before="0" w:after="0"/>
            </w:pPr>
            <w:r>
              <w:rPr/>
              <w:t xml:space="preserve">오류 1건이 착공 후 발견 시 설계변경 증액 : 판단곤란</w:t>
            </w:r>
          </w:p>
        </w:tc>
      </w:tr>
      <w:tr>
        <w:trPr>
          <w:cantSplit/>
        </w:trPr>
        <w:tc>
          <w:tcPr>
            <w:tcW w:w="4000" w:type="dxa"/>
          </w:tcPr>
          <w:p>
            <w:pPr>
              <w:spacing w:before="0" w:after="0"/>
            </w:pPr>
            <w:r>
              <w:rPr/>
              <w:t xml:space="preserve">E3. 공공이 감수할 만한 추가비용의 한계</w:t>
            </w:r>
          </w:p>
        </w:tc>
        <w:tc>
          <w:tcPr>
            <w:tcW w:w="5600" w:type="dxa"/>
          </w:tcPr>
          <w:p>
            <w:pPr>
              <w:spacing w:before="0" w:after="0"/>
            </w:pPr>
            <w:r>
              <w:rPr/>
              <w:t xml:space="preserve">선택 : ② 설계비 10% 추가까지</w:t>
            </w:r>
          </w:p>
        </w:tc>
      </w:tr>
      <w:tr>
        <w:trPr>
          <w:cantSplit/>
        </w:trPr>
        <w:tc>
          <w:tcPr>
            <w:tcW w:w="4000" w:type="dxa"/>
          </w:tcPr>
          <w:p>
            <w:pPr>
              <w:spacing w:before="0" w:after="0"/>
            </w:pPr>
            <w:r>
              <w:rPr/>
              <w:t xml:space="preserve">E4. 확대가 경제적으로 타당해지는 시점</w:t>
            </w:r>
          </w:p>
        </w:tc>
        <w:tc>
          <w:tcPr>
            <w:tcW w:w="5600" w:type="dxa"/>
          </w:tcPr>
          <w:p>
            <w:pPr>
              <w:spacing w:before="0" w:after="0"/>
            </w:pPr>
            <w:r>
              <w:rPr/>
              <w:t xml:space="preserve">선택 : ⑤ 시간이 지나도 자연히 해소되지 않음</w:t>
            </w:r>
          </w:p>
          <w:p>
            <w:pPr>
              <w:spacing w:before="0" w:after="0"/>
            </w:pPr>
            <w:r>
              <w:rPr/>
              <w:t xml:space="preserve">그렇게 보시는 근거 (업계 여건·기술·기준 정비 등) : 소프트웨어 숙련과 자동화만으로 경제성이 확보되지는 않는다. 2D, 3D 중복 작성, 활용하지 않는 정보의 과다 입력, 검수 반복, 단계 간 모델 재작성 등의 원인이 남으면 비용 부담도 지속된다. 일정 연수 후 일괄 확대하기보다 업무 중복 감소와 실제 활용 성과를 확인해 다음 단계로 전환해야 한다. E3의 일률적인 추가비용 상한은 사업별 자료가 없어 공란으로 두었다.</w:t>
            </w:r>
          </w:p>
        </w:tc>
      </w:tr>
      <w:tr>
        <w:trPr>
          <w:cantSplit/>
        </w:trPr>
        <w:tc>
          <w:tcPr>
            <w:tcW w:w="4000" w:type="dxa"/>
          </w:tcPr>
          <w:p>
            <w:pPr>
              <w:spacing w:before="0" w:after="0"/>
            </w:pPr>
            <w:r>
              <w:rPr/>
              <w:t xml:space="preserve">E5. BIM 대가(별도 추가 대가) 지급이 맞다고 보십니까?</w:t>
            </w:r>
          </w:p>
        </w:tc>
        <w:tc>
          <w:tcPr>
            <w:tcW w:w="5600" w:type="dxa"/>
          </w:tcPr>
          <w:p>
            <w:pPr>
              <w:spacing w:before="0" w:after="0"/>
            </w:pPr>
            <w:r>
              <w:rPr/>
              <w:t xml:space="preserve">선택 : ① 필요 — 추가 업무이므로 별도 대가 필요</w:t>
            </w:r>
          </w:p>
          <w:p>
            <w:pPr>
              <w:spacing w:before="0" w:after="0"/>
            </w:pPr>
            <w:r>
              <w:rPr/>
              <w:t xml:space="preserve">그렇게 판단하시는 이유 (대가가 있을 때와 없을 때 현장 차이) : 발주자가 별도로 요구하는 모델 작성, 속성 구축, 검증, 협업, 인계 업무에는 합리적인 대가가 필요하다. 대가가 없으면 납품 직전 최소 모델 작성에 그칠 유인이 커진다. 다만 기존 설계 업무와 중복 지급하지 않도록 업무분해표로 추가 업무를 구분하고, 자동화로 줄어드는 작업량과 모델 재사용 수준을 반영해 기준을 갱신해야 한다.</w:t>
            </w:r>
          </w:p>
        </w:tc>
      </w:tr>
      <w:tr>
        <w:trPr>
          <w:cantSplit/>
        </w:trPr>
        <w:tc>
          <w:tcPr>
            <w:tcW w:w="4000" w:type="dxa"/>
          </w:tcPr>
          <w:p>
            <w:pPr>
              <w:spacing w:before="0" w:after="0"/>
            </w:pPr>
            <w:r>
              <w:rPr/>
              <w:t xml:space="preserve">E6. (대가가 필요하다고 보시는 경우) BIM 대가는 어떻게 다루는 것이 맞습니까?</w:t>
            </w:r>
          </w:p>
        </w:tc>
        <w:tc>
          <w:tcPr>
            <w:tcW w:w="5600" w:type="dxa"/>
          </w:tcPr>
          <w:p>
            <w:pPr>
              <w:spacing w:before="0" w:after="0"/>
            </w:pPr>
            <w:r>
              <w:rPr/>
              <w:t xml:space="preserve">선택 : ① 별도 대가기준이 반드시 필요</w:t>
            </w:r>
          </w:p>
        </w:tc>
      </w:tr>
    </w:tbl>
    <w:p>
      <w:pPr>
        <w:pBdr>
          <w:bottom w:val="single" w:sz="12" w:space="1" w:color="000000"/>
        </w:pBdr>
        <w:spacing w:before="280" w:after="120"/>
      </w:pPr>
      <w:r>
        <w:rPr>
          <w:b/>
          <w:sz w:val="24"/>
          <w:szCs w:val="24"/>
        </w:rPr>
        <w:t xml:space="preserve">Ⅳ-5. 학계 분야 문항 (R1~R7)</w:t>
      </w:r>
    </w:p>
    <w:tbl>
      <w:tblPr>
        <w:tblW w:w="960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CellMar>
          <w:top w:w="60" w:type="dxa"/>
          <w:left w:w="100" w:type="dxa"/>
          <w:bottom w:w="60" w:type="dxa"/>
          <w:right w:w="100" w:type="dxa"/>
        </w:tblCellMar>
      </w:tblPr>
      <w:tblGrid>
        <w:gridCol w:w="4000"/>
        <w:gridCol w:w="5600"/>
      </w:tblGrid>
      <w:tr>
        <w:trPr>
          <w:tblHeader/>
        </w:trPr>
        <w:tc>
          <w:tcPr>
            <w:tcW w:w="4000" w:type="dxa"/>
            <w:shd w:val="clear" w:color="auto" w:fill="E8EDF3"/>
          </w:tcPr>
          <w:p>
            <w:pPr>
              <w:jc w:val="center"/>
              <w:spacing w:before="0" w:after="0"/>
            </w:pPr>
            <w:r>
              <w:rPr>
                <w:b/>
              </w:rPr>
              <w:t xml:space="preserve">문항</w:t>
            </w:r>
          </w:p>
        </w:tc>
        <w:tc>
          <w:tcPr>
            <w:tcW w:w="5600" w:type="dxa"/>
            <w:shd w:val="clear" w:color="auto" w:fill="E8EDF3"/>
          </w:tcPr>
          <w:p>
            <w:pPr>
              <w:jc w:val="center"/>
              <w:spacing w:before="0" w:after="0"/>
            </w:pPr>
            <w:r>
              <w:rPr>
                <w:b/>
              </w:rPr>
              <w:t xml:space="preserve">자문 의견</w:t>
            </w:r>
          </w:p>
        </w:tc>
      </w:tr>
      <w:tr>
        <w:trPr>
          <w:cantSplit/>
        </w:trPr>
        <w:tc>
          <w:tcPr>
            <w:tcW w:w="4000" w:type="dxa"/>
          </w:tcPr>
          <w:p>
            <w:pPr>
              <w:spacing w:before="0" w:after="0"/>
            </w:pPr>
            <w:r>
              <w:rPr/>
              <w:t xml:space="preserve">R1. 금액 기준 단계적 하향 방식의 국제 동향 적절성</w:t>
            </w:r>
          </w:p>
        </w:tc>
        <w:tc>
          <w:tcPr>
            <w:tcW w:w="5600" w:type="dxa"/>
          </w:tcPr>
          <w:p>
            <w:pPr>
              <w:spacing w:before="0" w:after="0"/>
            </w:pPr>
            <w:r>
              <w:rPr/>
              <w:t xml:space="preserve">선택 : ② 금액에 시설군·요구수준 기준을 함께</w:t>
            </w:r>
          </w:p>
          <w:p>
            <w:pPr>
              <w:spacing w:before="0" w:after="0"/>
            </w:pPr>
            <w:r>
              <w:rPr/>
              <w:t xml:space="preserve">판단 근거 (참고 국가·기관 사례) : 금액은 대상 선정의 명확성을 제공하지만 필요한 정보와 활용 효과까지 설명하지는 못한다. European Commission/EASME의 2021년 공공조달 BIM 비용·편익 방법론은 사업 생애주기 단계와 비용·편익 항목을 구분해 평가하도록 구성되어 있다. 이를 참고하면 금액 기준에 시설군·사업 특성과 요구수준을 함께 적용하는 방식이 적절하다. 이 자료를 특정 국가의 의무화 금액 기준을 입증하는 근거로 사용한 것은 아니다.</w:t>
            </w:r>
          </w:p>
        </w:tc>
      </w:tr>
      <w:tr>
        <w:trPr>
          <w:cantSplit/>
        </w:trPr>
        <w:tc>
          <w:tcPr>
            <w:tcW w:w="4000" w:type="dxa"/>
          </w:tcPr>
          <w:p>
            <w:pPr>
              <w:spacing w:before="0" w:after="0"/>
            </w:pPr>
            <w:r>
              <w:rPr/>
              <w:t xml:space="preserve">R2. BIM 적용 효과 검증 지표</w:t>
            </w:r>
          </w:p>
        </w:tc>
        <w:tc>
          <w:tcPr>
            <w:tcW w:w="5600" w:type="dxa"/>
          </w:tcPr>
          <w:p>
            <w:pPr>
              <w:spacing w:before="0" w:after="0"/>
            </w:pPr>
            <w:r>
              <w:rPr/>
              <w:t xml:space="preserve">선택 : 설계변경 건수·증액 규모 / 시공 재작업·클레임 / 유지관리 단계 정보 활용도</w:t>
            </w:r>
          </w:p>
          <w:p>
            <w:pPr>
              <w:spacing w:before="0" w:after="0"/>
            </w:pPr>
            <w:r>
              <w:rPr/>
              <w:t xml:space="preserve">선택 지표를 서울시 사업에서 실제 수집하려면 어떻게 측정·기록? : 설계변경은 사유, 발생 단계, 변경 금액을 기록하고 발주자 요구 변경, 물가, 수량 변화와 설계오류를 구분한다. 재작업은 원인/투입 공수/비용/지연일을 동일 양식으로 기록하되 설계변경 비용과 중복 계상하지 않는다. 유지관리는 인수 필수정보의 충족률과 실제 점검/보수 업무에서의 조회/갱신 건수를 기록한다. 모델 객체 ID와 이슈/설계변경/작업지시 ID를 연결하고, 분기별로 발주자와 수행자가 함께 확인하도록 한다.</w:t>
            </w:r>
          </w:p>
        </w:tc>
      </w:tr>
      <w:tr>
        <w:trPr>
          <w:cantSplit/>
        </w:trPr>
        <w:tc>
          <w:tcPr>
            <w:tcW w:w="4000" w:type="dxa"/>
          </w:tcPr>
          <w:p>
            <w:pPr>
              <w:spacing w:before="0" w:after="0"/>
            </w:pPr>
            <w:r>
              <w:rPr/>
              <w:t xml:space="preserve">R3. 서울시 다음 확대 단계 판단을 위한 평가 설계</w:t>
            </w:r>
          </w:p>
        </w:tc>
        <w:tc>
          <w:tcPr>
            <w:tcW w:w="5600" w:type="dxa"/>
          </w:tcPr>
          <w:p>
            <w:pPr>
              <w:spacing w:before="0" w:after="0"/>
            </w:pPr>
            <w:r>
              <w:rPr/>
              <w:t xml:space="preserve">적용/미적용 비교, 사전·사후 비교, 사례 연구 등 방법과 최소 사례 수·관측 기간 : 시설군, 공사비, 복잡도, 발주방식이 유사한 적용/미적용 사업을 짝지어 비교하고 사업 시작 전에 지표와 기준선을 정할 것을 제안한다. 초기 탐색평가는 적용 10건·비교 10건 등 총 20건 내외에서 시작하되, 이는 통계적 충분성을 보장하는 최소 표본수가 아니다. 초기 분산과 효과크기를 확인한 뒤 표본수를 재산정해야 한다. 최소 2년간 설계/시공 진행 자료를 수집하고, 준공 사업은 인계 후 1년 이상 실제 활용을 별도로 추적한다. 완료되지 않은 사업으로 생애주기 편익을 확정하지 말고 추정치와 관측치를 구분한다.</w:t>
            </w:r>
          </w:p>
        </w:tc>
      </w:tr>
      <w:tr>
        <w:trPr>
          <w:cantSplit/>
        </w:trPr>
        <w:tc>
          <w:tcPr>
            <w:tcW w:w="4000" w:type="dxa"/>
          </w:tcPr>
          <w:p>
            <w:pPr>
              <w:spacing w:before="0" w:after="0"/>
            </w:pPr>
            <w:r>
              <w:rPr/>
              <w:t xml:space="preserve">R4. BIM 대가의 근거로 타당한 것</w:t>
            </w:r>
          </w:p>
        </w:tc>
        <w:tc>
          <w:tcPr>
            <w:tcW w:w="5600" w:type="dxa"/>
          </w:tcPr>
          <w:p>
            <w:pPr>
              <w:spacing w:before="0" w:after="0"/>
            </w:pPr>
            <w:r>
              <w:rPr/>
              <w:t xml:space="preserve">선택 : ① 추가 업무량 (투입 공수·경비)</w:t>
            </w:r>
          </w:p>
          <w:p>
            <w:pPr>
              <w:spacing w:before="0" w:after="0"/>
            </w:pPr>
            <w:r>
              <w:rPr/>
              <w:t xml:space="preserve">그 원칙을 실제 대가 산정에 적용할 때의 한계 : 계약 대가는 우선 추가 업무의 공수/경비로 산정하고, 생애주기 편익은 공공의 투자/확대 판단에 활용하는 것이 적절하다. 편익은 사업 특성과 활용 주체에 따라 달라 설계자의 보수에 직접 연결하기 어렵다. 공수 방식도 비효율을 보상할 수 있으므로 표준 업무분해와 실적 기록을 마련하고, 난이도/재사용/자동화 수준에 따른 보정을 적용해야 한다.</w:t>
            </w:r>
          </w:p>
        </w:tc>
      </w:tr>
      <w:tr>
        <w:trPr>
          <w:cantSplit/>
        </w:trPr>
        <w:tc>
          <w:tcPr>
            <w:tcW w:w="4000" w:type="dxa"/>
          </w:tcPr>
          <w:p>
            <w:pPr>
              <w:spacing w:before="0" w:after="0"/>
            </w:pPr>
            <w:r>
              <w:rPr/>
              <w:t xml:space="preserve">R5. BIM 인력 부족 해소를 위한 학계·교육기관 역할</w:t>
            </w:r>
          </w:p>
        </w:tc>
        <w:tc>
          <w:tcPr>
            <w:tcW w:w="5600" w:type="dxa"/>
          </w:tcPr>
          <w:p>
            <w:pPr>
              <w:spacing w:before="0" w:after="0"/>
            </w:pPr>
            <w:r>
              <w:rPr/>
              <w:t xml:space="preserve">선택 : 산학 연계 실무 프로젝트 / 공공 발주자(공무원) 교육</w:t>
            </w:r>
          </w:p>
          <w:p>
            <w:pPr>
              <w:spacing w:before="0" w:after="0"/>
            </w:pPr>
            <w:r>
              <w:rPr/>
              <w:t xml:space="preserve">현재 대학·연구기관의 BIM 교육·연구 여건과 한계 : 대학 교육은 모델 작성 기능에 더해 정보 요구 정의, 데이터 품질 검증, 공정/안전/유지관리 활용을 연결할 필요가 있다. 산학 프로젝트에서 익명화된 실제 과업서/모델/검수 기록을 활용하고, 공공 발주자 교육은 요구수준 결정과 성과품 검수에 집중하는 것이 효과적이다. 다만 실제 사업 데이터 접근 제한, 소프트웨어 중심 실습, 지속적인 현장 지도인력 확보가 제약이 될 수 있다.</w:t>
            </w:r>
          </w:p>
        </w:tc>
      </w:tr>
      <w:tr>
        <w:trPr>
          <w:cantSplit/>
        </w:trPr>
        <w:tc>
          <w:tcPr>
            <w:tcW w:w="4000" w:type="dxa"/>
          </w:tcPr>
          <w:p>
            <w:pPr>
              <w:spacing w:before="0" w:after="0"/>
            </w:pPr>
            <w:r>
              <w:rPr/>
              <w:t xml:space="preserve">R6. BIM 적용 확대 단계·속도 조정 참고 연구/사례</w:t>
            </w:r>
          </w:p>
        </w:tc>
        <w:tc>
          <w:tcPr>
            <w:tcW w:w="5600" w:type="dxa"/>
          </w:tcPr>
          <w:p>
            <w:pPr>
              <w:spacing w:before="0" w:after="0"/>
            </w:pPr>
            <w:r>
              <w:rPr/>
              <w:t xml:space="preserve">국내외 논문·보고서·제도 사례를 자료명·기관·연도 수준으로. 효과가 제한적이었던 사례도 도움. : European Commission/EASME, Calculating costs and benefits for the use of Building Information Modeling in public tenders: Methodology handbook, 2021, DOI: 10.2826/048648. 공공 발주사업의 계획·설계, 시공, 운영·유지관리 단계별 비용·편익을 구분하고, 다양한 규모와 유형의 조달을 반영한 6개 예시를 제시한다. 서울시에는 획일적인 편익률을 적용하기보다 사업별 입력자료와 가정을 공개하는 평가체계를 설계하는 데 참고할 수 있다. 예시 계산값과 실제 관측 효과를 구분해야 한다. https://op.europa.eu/en/publication-detail/-/publication/f5a4c7b3-cf12-11eb-ac72-01aa75ed71a1/language-en</w:t>
            </w:r>
          </w:p>
        </w:tc>
      </w:tr>
      <w:tr>
        <w:trPr>
          <w:cantSplit/>
        </w:trPr>
        <w:tc>
          <w:tcPr>
            <w:tcW w:w="4000" w:type="dxa"/>
          </w:tcPr>
          <w:p>
            <w:pPr>
              <w:spacing w:before="0" w:after="0"/>
            </w:pPr>
            <w:r>
              <w:rPr/>
              <w:t xml:space="preserve">R7. BIM 모델을 설계도서·시공상세도로 인정(2D 대체) 추진 방식</w:t>
            </w:r>
          </w:p>
        </w:tc>
        <w:tc>
          <w:tcPr>
            <w:tcW w:w="5600" w:type="dxa"/>
          </w:tcPr>
          <w:p>
            <w:pPr>
              <w:spacing w:before="0" w:after="0"/>
            </w:pPr>
            <w:r>
              <w:rPr/>
              <w:t xml:space="preserve">선택 : ③ 일부 성과품(수량·간섭검토 등)부터 부분 인정</w:t>
            </w:r>
          </w:p>
          <w:p>
            <w:pPr>
              <w:spacing w:before="0" w:after="0"/>
            </w:pPr>
            <w:r>
              <w:rPr/>
              <w:t xml:space="preserve">전제 조건과 관련 법령·기준 개정 시 쟁점 : 수량산출 근거와 간섭검토 결과 등 검증 가능한 일부 성과품부터 대체 인정 범위를 정하는 방안을 제안한다. 승인 모델의 버전/좌표/정확도/필수 속성, 전자 승인과 변경 이력, 도면 불일치 시 적용 순서, 작성/검토/승인 책임을 계약에 명시해야 한다. 개방형 형식의 교환/보존 가능성도 확인해야 한다. 실제 설계도서 대체 인정은 관련 법령/기준의 허용 범위를 검토한 뒤 추진하며 계약 문구만으로 법정 제출 의무를 대체할 수 있다고 가정해서는 안 된다.</w:t>
            </w:r>
          </w:p>
        </w:tc>
      </w:tr>
    </w:tbl>
    <w:p>
      <w:pPr>
        <w:pBdr>
          <w:bottom w:val="single" w:sz="12" w:space="1" w:color="000000"/>
        </w:pBdr>
        <w:spacing w:before="280" w:after="120"/>
      </w:pPr>
      <w:r>
        <w:rPr>
          <w:b/>
          <w:sz w:val="24"/>
          <w:szCs w:val="24"/>
        </w:rPr>
        <w:t xml:space="preserve">Ⅴ. 마무리 (Z1~Z5)</w:t>
      </w:r>
    </w:p>
    <w:tbl>
      <w:tblPr>
        <w:tblW w:w="960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CellMar>
          <w:top w:w="60" w:type="dxa"/>
          <w:left w:w="100" w:type="dxa"/>
          <w:bottom w:w="60" w:type="dxa"/>
          <w:right w:w="100" w:type="dxa"/>
        </w:tblCellMar>
      </w:tblPr>
      <w:tblGrid>
        <w:gridCol w:w="4000"/>
        <w:gridCol w:w="5600"/>
      </w:tblGrid>
      <w:tr>
        <w:trPr>
          <w:tblHeader/>
        </w:trPr>
        <w:tc>
          <w:tcPr>
            <w:tcW w:w="4000" w:type="dxa"/>
            <w:shd w:val="clear" w:color="auto" w:fill="E8EDF3"/>
          </w:tcPr>
          <w:p>
            <w:pPr>
              <w:jc w:val="center"/>
              <w:spacing w:before="0" w:after="0"/>
            </w:pPr>
            <w:r>
              <w:rPr>
                <w:b/>
              </w:rPr>
              <w:t xml:space="preserve">문항</w:t>
            </w:r>
          </w:p>
        </w:tc>
        <w:tc>
          <w:tcPr>
            <w:tcW w:w="5600" w:type="dxa"/>
            <w:shd w:val="clear" w:color="auto" w:fill="E8EDF3"/>
          </w:tcPr>
          <w:p>
            <w:pPr>
              <w:jc w:val="center"/>
              <w:spacing w:before="0" w:after="0"/>
            </w:pPr>
            <w:r>
              <w:rPr>
                <w:b/>
              </w:rPr>
              <w:t xml:space="preserve">자문 의견</w:t>
            </w:r>
          </w:p>
        </w:tc>
      </w:tr>
      <w:tr>
        <w:trPr>
          <w:cantSplit/>
        </w:trPr>
        <w:tc>
          <w:tcPr>
            <w:tcW w:w="4000" w:type="dxa"/>
          </w:tcPr>
          <w:p>
            <w:pPr>
              <w:spacing w:before="0" w:after="0"/>
            </w:pPr>
            <w:r>
              <w:rPr/>
              <w:t xml:space="preserve">Z1. BIM 확산을 위해 공공이 해야 할 일 (각 1줄)</w:t>
            </w:r>
          </w:p>
        </w:tc>
        <w:tc>
          <w:tcPr>
            <w:tcW w:w="5600" w:type="dxa"/>
          </w:tcPr>
          <w:p>
            <w:pPr>
              <w:spacing w:before="0" w:after="0"/>
            </w:pPr>
            <w:r>
              <w:rPr/>
              <w:t xml:space="preserve">공공이 준비할 것 : 활용 목적별 표준 과업서/정보 요구/검수 체크리스트와 발주기관 공동 검토체계를 준비한다.</w:t>
            </w:r>
          </w:p>
          <w:p>
            <w:pPr>
              <w:spacing w:before="0" w:after="0"/>
            </w:pPr>
            <w:r>
              <w:rPr/>
              <w:t xml:space="preserve">공공이 지원할 것 : 추가 업무 대가, 중소기업의 실무 교육/도구 활용, 발주자 검수 역량과 공통 데이터 환경을 지원한다.</w:t>
            </w:r>
          </w:p>
          <w:p>
            <w:pPr>
              <w:spacing w:before="0" w:after="0"/>
            </w:pPr>
            <w:r>
              <w:rPr/>
              <w:t xml:space="preserve">공공이 제도·기준으로 정할 것 : 필수 성과품·합격 기준, 단계 간 인계/갱신 책임, 변경 시 비용/기간 조정 및 문서 간 우선순위를 정한다.</w:t>
            </w:r>
          </w:p>
        </w:tc>
      </w:tr>
      <w:tr>
        <w:trPr>
          <w:cantSplit/>
        </w:trPr>
        <w:tc>
          <w:tcPr>
            <w:tcW w:w="4000" w:type="dxa"/>
          </w:tcPr>
          <w:p>
            <w:pPr>
              <w:spacing w:before="0" w:after="0"/>
            </w:pPr>
            <w:r>
              <w:rPr/>
              <w:t xml:space="preserve">Z2. 본 연구의 로드맵 조정(안)에 반드시 담겨야 한다고 보시는 것</w:t>
            </w:r>
          </w:p>
        </w:tc>
        <w:tc>
          <w:tcPr>
            <w:tcW w:w="5600" w:type="dxa"/>
          </w:tcPr>
          <w:p>
            <w:pPr>
              <w:spacing w:before="0" w:after="0"/>
            </w:pPr>
            <w:r>
              <w:rPr/>
              <w:t xml:space="preserve">첫째, 2027년 300억원 이상 확대는 유지하되 사업 준비도와 활용 목적에 따른 차등 과업을 둔다. 둘째, 초기에는 주요 구조물의 설계 정합성과 간섭검토에 집중하고, 시공·유지관리 연계는 인계 책임과 예산을 확보한 사업에서 확대한다. 셋째, 다음 단계 확대 여부는 단순 모델 납품률이 아니라 검수 통과, 실제 활용, 추가 업무량, 재작업 감소에 관한 자료로 판단한다. 넷째, 2029년/2030년 단계의 범위는 초기 성과평가 후 확정하고 예외/보완 절차를 함께 제시한다. AI를 활용한 모델 생성/검토 자동화는 보조수단으로 도입하되 결과의 정확성 검증과 승인 책임은 유지해야 한다.</w:t>
            </w:r>
          </w:p>
        </w:tc>
      </w:tr>
      <w:tr>
        <w:trPr>
          <w:cantSplit/>
        </w:trPr>
        <w:tc>
          <w:tcPr>
            <w:tcW w:w="4000" w:type="dxa"/>
          </w:tcPr>
          <w:p>
            <w:pPr>
              <w:spacing w:before="0" w:after="0"/>
            </w:pPr>
            <w:r>
              <w:rPr/>
              <w:t xml:space="preserve">Z3. 2027년 이후 후속 과업에서 우선 다룰 것</w:t>
            </w:r>
          </w:p>
        </w:tc>
        <w:tc>
          <w:tcPr>
            <w:tcW w:w="5600" w:type="dxa"/>
          </w:tcPr>
          <w:p>
            <w:pPr>
              <w:spacing w:before="0" w:after="0"/>
            </w:pPr>
            <w:r>
              <w:rPr/>
              <w:t xml:space="preserve">선택 : 성과품 검수 기준·체계 정비 / 적용 성과 데이터 축적·분석</w:t>
            </w:r>
          </w:p>
        </w:tc>
      </w:tr>
      <w:tr>
        <w:trPr>
          <w:cantSplit/>
        </w:trPr>
        <w:tc>
          <w:tcPr>
            <w:tcW w:w="4000" w:type="dxa"/>
          </w:tcPr>
          <w:p>
            <w:pPr>
              <w:spacing w:before="0" w:after="0"/>
            </w:pPr>
            <w:r>
              <w:rPr/>
              <w:t xml:space="preserve">Z4. BIM의 경제적 효과를 수치로 보여 주는 국내외 사례</w:t>
            </w:r>
          </w:p>
        </w:tc>
        <w:tc>
          <w:tcPr>
            <w:tcW w:w="5600" w:type="dxa"/>
          </w:tcPr>
          <w:p>
            <w:pPr>
              <w:spacing w:before="0" w:after="0"/>
            </w:pPr>
            <w:r>
              <w:rPr/>
              <w:t xml:space="preserve">기관·사업명 또는 보고서명 수준으로 충분 : European Commission/EASME(2021), Calculating costs and benefits for the use of Building Information Modeling in public tenders: Methodology handbook. 공공조달 BIM의 비용·편익을 계산하는 도구와 6개 적용 예시가 제시되어 있어 서울시 평가 틀에 참고할 수 있다(DOI: 10.2826/048648). 예시의 계산 결과를 서울시에서 실현된 절감률로 해석하거나 그대로 전용해서는 안 된다. 국내 직접 수행사업에서 확인한 경제성 수치는 보유 여부 확인이 필요하다.</w:t>
            </w:r>
          </w:p>
        </w:tc>
      </w:tr>
      <w:tr>
        <w:trPr>
          <w:cantSplit/>
        </w:trPr>
        <w:tc>
          <w:tcPr>
            <w:tcW w:w="4000" w:type="dxa"/>
          </w:tcPr>
          <w:p>
            <w:pPr>
              <w:spacing w:before="0" w:after="0"/>
            </w:pPr>
            <w:r>
              <w:rPr/>
              <w:t xml:space="preserve">Z5. 추가 협조 가능 여부</w:t>
            </w:r>
          </w:p>
        </w:tc>
        <w:tc>
          <w:tcPr>
            <w:tcW w:w="5600" w:type="dxa"/>
          </w:tcPr>
          <w:p>
            <w:pPr>
              <w:spacing w:before="0" w:after="0"/>
            </w:pPr>
            <w:r>
              <w:rPr/>
              <w:t xml:space="preserve">선택 : 곤란</w:t>
            </w:r>
          </w:p>
        </w:tc>
      </w:tr>
    </w:tbl>
    <w:p>
      <w:pPr>
        <w:spacing w:before="360" w:after="0"/>
      </w:pPr>
    </w:p>
    <w:p>
      <w:pPr>
        <w:jc w:val="center"/>
        <w:spacing w:before="0" w:after="120"/>
      </w:pPr>
      <w:r>
        <w:rPr/>
        <w:t xml:space="preserve">2026.10.28</w:t>
      </w:r>
    </w:p>
    <w:p>
      <w:pPr>
        <w:jc w:val="center"/>
        <w:spacing w:before="0" w:after="0"/>
      </w:pPr>
      <w:r>
        <w:rPr/>
        <w:t xml:space="preserve">자문위원 : 연세대학교 건설환경공학과 부교수  김홍조  (서명 생략·전자 제출)</w:t>
      </w:r>
    </w:p>
    <w:sectPr>
      <w:pgSz w:w="11906" w:h="16838"/>
      <w:pgMar w:top="1134" w:right="1077" w:bottom="1134" w:left="1077" w:header="567" w:footer="567" w:gutter="0"/>
    </w:sectPr>
  </w:body>
</w:document>
</file>

<file path=word/styles.xml><?xml version="1.0" encoding="utf-8"?>
<w:styles xmlns:w="http://schemas.openxmlformats.org/wordprocessingml/2006/main">
  <w:docDefaults>
    <w:rPrDefault>
      <w:rPr>
        <w:rFonts w:ascii="맑은 고딕" w:eastAsia="맑은 고딕" w:hAnsi="맑은 고딕" w:cs="맑은 고딕"/>
        <w:sz w:val="20"/>
        <w:szCs w:val="20"/>
        <w:lang w:val="en-US" w:eastAsia="ko-KR"/>
      </w:rPr>
    </w:rPrDefault>
    <w:pPrDefault>
      <w:pPr>
        <w:spacing w:after="0" w:line="300" w:lineRule="auto"/>
      </w:pPr>
    </w:pPrDefault>
  </w:docDefaults>
  <w:style w:type="paragraph" w:default="1" w:styleId="Normal">
    <w:name w:val="Normal"/>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