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56"/>
        </w:rPr>
        <w:t>STAR CLUSTER</w:t>
      </w:r>
    </w:p>
    <w:p>
      <w:pPr>
        <w:jc w:val="center"/>
      </w:pPr>
      <w:r>
        <w:rPr>
          <w:sz w:val="32"/>
        </w:rPr>
        <w:t>Game Concept and Current Working Design</w:t>
      </w:r>
    </w:p>
    <w:p>
      <w:pPr>
        <w:pStyle w:val="Subtitle"/>
      </w:pPr>
      <w:r>
        <w:t>CP165 documentation reconciliation • Current working implementation after CP164 isolated power closure</w:t>
      </w:r>
    </w:p>
    <w:p>
      <w:pPr>
        <w:pStyle w:val="Heading1"/>
      </w:pPr>
      <w:r>
        <w:t>Document Use and Status</w:t>
      </w:r>
    </w:p>
    <w:p>
      <w:r>
        <w:t>This living Concept defines durable player-facing rules and design intent. Detailed current TL values live in the Current Technology Tree; checkpoint history and calibration evidence are intentionally separated so old research prose cannot masquerade as current rules. The current working design is ahead of frozen production compatibility in DEF/RES and later AUX/power selections pending whole-system validation and explicit promotion.</w:t>
      </w:r>
    </w:p>
    <w:p>
      <w:pPr>
        <w:pStyle w:val="Heading1"/>
      </w:pPr>
      <w:r>
        <w:t>1. Executive Summary</w:t>
      </w:r>
    </w:p>
    <w:p>
      <w:r>
        <w:t>Star Cluster is a turn-based, top-down starship-command roguelike centered on one persistent cruiser. The player commands their civilization’s second FTL ship after the first transmitted fragmentary evidence of an unknown attacker. Explore a procedurally generated local cluster, survive escalating threats, research/refit the ship, interact with alien civilizations, and resolve the principal enemy threat. Defeat is permanent.</w:t>
      </w:r>
    </w:p>
    <w:p>
      <w:pPr>
        <w:pStyle w:val="Heading1"/>
      </w:pPr>
      <w:r>
        <w:t>2. Design Pillars</w:t>
      </w:r>
    </w:p>
    <w:p>
      <w:pPr>
        <w:pStyle w:val="ListBullet"/>
      </w:pPr>
      <w:r>
        <w:t>The ship is the player: persistent damage, refits and discoveries create identity.</w:t>
      </w:r>
    </w:p>
    <w:p>
      <w:pPr>
        <w:pStyle w:val="ListBullet"/>
      </w:pPr>
      <w:r>
        <w:t>KISS for the player; the research engine may be sophisticated.</w:t>
      </w:r>
    </w:p>
    <w:p>
      <w:pPr>
        <w:pStyle w:val="ListBullet"/>
      </w:pPr>
      <w:r>
        <w:t>Installation Space abstracts installed mass/volume/integration burden; Tactical Power abstracts discretionary combat energy.</w:t>
      </w:r>
    </w:p>
    <w:p>
      <w:pPr>
        <w:pStyle w:val="ListBullet"/>
      </w:pPr>
      <w:r>
        <w:t>Balance means distinct, strategically viable choices rather than numerical equality.</w:t>
      </w:r>
    </w:p>
    <w:p>
      <w:pPr>
        <w:pStyle w:val="ListBullet"/>
      </w:pPr>
      <w:r>
        <w:t>Do not add universal bookkeeping currencies unless an important recurring decision cannot be expressed by existing abstractions.</w:t>
      </w:r>
    </w:p>
    <w:p>
      <w:pPr>
        <w:pStyle w:val="Heading1"/>
      </w:pPr>
      <w:r>
        <w:t>3. Campaign, Maps, and Exploration</w:t>
      </w:r>
    </w:p>
    <w:p>
      <w:r>
        <w:t>The distress recording is evidence, not certainty. The player retraces the first ship’s route, explores a reproducible-seed cluster, gathers clues/resources/allies and confronts an active enemy whose awareness can evolve. The system tactical map is radius 5 (11 hexes across); ordinary player-facing combat avoids 3D position/velocity simulation. Strategic movement, exploration interruptions, hazards, installations, derelicts and anomalies can vary by campaign.</w:t>
      </w:r>
    </w:p>
    <w:p>
      <w:pPr>
        <w:pStyle w:val="Heading1"/>
      </w:pPr>
      <w:r>
        <w:t>4. The Player Ship and Construction</w:t>
      </w:r>
    </w:p>
    <w:p>
      <w:r>
        <w:t>The ship remains cruiser-scale across TL1-TL9 rather than becoming a battleship. Cruiser Installation Space is 35/35/36/36/37/37/38/38/39. Normal player construction requires at least one Main Weapon, at least one Main Reactor, one primary STL Drive, one primary FTL Drive, one primary Tactical Computer and one primary Sensor Suite. Additional Main Weapons and full Main Reactors are legal when actual Space and resources permit. Broad legal-build research may omit optional Shield; the standard player cruiser is tracked separately.</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17365D"/>
          </w:tcPr>
          <w:p>
            <w:r>
              <w:rPr>
                <w:b/>
                <w:color w:val="FFFFFF"/>
              </w:rPr>
              <w:t>Component</w:t>
            </w:r>
          </w:p>
        </w:tc>
        <w:tc>
          <w:tcPr>
            <w:tcW w:type="dxa" w:w="3331"/>
            <w:shd w:fill="17365D"/>
          </w:tcPr>
          <w:p>
            <w:r>
              <w:rPr>
                <w:b/>
                <w:color w:val="FFFFFF"/>
              </w:rPr>
              <w:t>Current Space</w:t>
            </w:r>
          </w:p>
        </w:tc>
        <w:tc>
          <w:tcPr>
            <w:tcW w:type="dxa" w:w="3331"/>
            <w:shd w:fill="17365D"/>
          </w:tcPr>
          <w:p>
            <w:r>
              <w:rPr>
                <w:b/>
                <w:color w:val="FFFFFF"/>
              </w:rPr>
              <w:t>Rule</w:t>
            </w:r>
          </w:p>
        </w:tc>
      </w:tr>
      <w:tr>
        <w:tc>
          <w:tcPr>
            <w:tcW w:type="dxa" w:w="3331"/>
            <w:vAlign w:val="center"/>
          </w:tcPr>
          <w:p>
            <w:r>
              <w:t>Main Weapon</w:t>
            </w:r>
          </w:p>
        </w:tc>
        <w:tc>
          <w:tcPr>
            <w:tcW w:type="dxa" w:w="3331"/>
            <w:vAlign w:val="center"/>
          </w:tcPr>
          <w:p>
            <w:r>
              <w:t>6</w:t>
            </w:r>
          </w:p>
        </w:tc>
        <w:tc>
          <w:tcPr>
            <w:tcW w:type="dxa" w:w="3331"/>
            <w:vAlign w:val="center"/>
          </w:tcPr>
          <w:p>
            <w:r>
              <w:t>At least one; multiples legal if Space/resources permit</w:t>
            </w:r>
          </w:p>
        </w:tc>
      </w:tr>
      <w:tr>
        <w:tc>
          <w:tcPr>
            <w:tcW w:type="dxa" w:w="3331"/>
            <w:vAlign w:val="center"/>
          </w:tcPr>
          <w:p>
            <w:r>
              <w:t>Main Reactor</w:t>
            </w:r>
          </w:p>
        </w:tc>
        <w:tc>
          <w:tcPr>
            <w:tcW w:type="dxa" w:w="3331"/>
            <w:vAlign w:val="center"/>
          </w:tcPr>
          <w:p>
            <w:r>
              <w:t>6</w:t>
            </w:r>
          </w:p>
        </w:tc>
        <w:tc>
          <w:tcPr>
            <w:tcW w:type="dxa" w:w="3331"/>
            <w:vAlign w:val="center"/>
          </w:tcPr>
          <w:p>
            <w:r>
              <w:t>At least one; independent additive output</w:t>
            </w:r>
          </w:p>
        </w:tc>
      </w:tr>
      <w:tr>
        <w:tc>
          <w:tcPr>
            <w:tcW w:type="dxa" w:w="3331"/>
            <w:vAlign w:val="center"/>
          </w:tcPr>
          <w:p>
            <w:r>
              <w:t>APU</w:t>
            </w:r>
          </w:p>
        </w:tc>
        <w:tc>
          <w:tcPr>
            <w:tcW w:type="dxa" w:w="3331"/>
            <w:vAlign w:val="center"/>
          </w:tcPr>
          <w:p>
            <w:r>
              <w:t>2</w:t>
            </w:r>
          </w:p>
        </w:tc>
        <w:tc>
          <w:tcPr>
            <w:tcW w:type="dxa" w:w="3331"/>
            <w:vAlign w:val="center"/>
          </w:tcPr>
          <w:p>
            <w:r>
              <w:t>Optional; +1 TP TL1-4, +2 TL5-9; no arbitrary cap</w:t>
            </w:r>
          </w:p>
        </w:tc>
      </w:tr>
      <w:tr>
        <w:tc>
          <w:tcPr>
            <w:tcW w:type="dxa" w:w="3331"/>
            <w:vAlign w:val="center"/>
          </w:tcPr>
          <w:p>
            <w:r>
              <w:t>STL Drive</w:t>
            </w:r>
          </w:p>
        </w:tc>
        <w:tc>
          <w:tcPr>
            <w:tcW w:type="dxa" w:w="3331"/>
            <w:vAlign w:val="center"/>
          </w:tcPr>
          <w:p>
            <w:r>
              <w:t>5</w:t>
            </w:r>
          </w:p>
        </w:tc>
        <w:tc>
          <w:tcPr>
            <w:tcW w:type="dxa" w:w="3331"/>
            <w:vAlign w:val="center"/>
          </w:tcPr>
          <w:p>
            <w:r>
              <w:t>One primary</w:t>
            </w:r>
          </w:p>
        </w:tc>
      </w:tr>
      <w:tr>
        <w:tc>
          <w:tcPr>
            <w:tcW w:type="dxa" w:w="3331"/>
            <w:vAlign w:val="center"/>
          </w:tcPr>
          <w:p>
            <w:r>
              <w:t>FTL Drive</w:t>
            </w:r>
          </w:p>
        </w:tc>
        <w:tc>
          <w:tcPr>
            <w:tcW w:type="dxa" w:w="3331"/>
            <w:vAlign w:val="center"/>
          </w:tcPr>
          <w:p>
            <w:r>
              <w:t>5</w:t>
            </w:r>
          </w:p>
        </w:tc>
        <w:tc>
          <w:tcPr>
            <w:tcW w:type="dxa" w:w="3331"/>
            <w:vAlign w:val="center"/>
          </w:tcPr>
          <w:p>
            <w:r>
              <w:t>One primary</w:t>
            </w:r>
          </w:p>
        </w:tc>
      </w:tr>
      <w:tr>
        <w:tc>
          <w:tcPr>
            <w:tcW w:type="dxa" w:w="3331"/>
            <w:vAlign w:val="center"/>
          </w:tcPr>
          <w:p>
            <w:r>
              <w:t>Tactical Computer</w:t>
            </w:r>
          </w:p>
        </w:tc>
        <w:tc>
          <w:tcPr>
            <w:tcW w:type="dxa" w:w="3331"/>
            <w:vAlign w:val="center"/>
          </w:tcPr>
          <w:p>
            <w:r>
              <w:t>3 early / 2 later</w:t>
            </w:r>
          </w:p>
        </w:tc>
        <w:tc>
          <w:tcPr>
            <w:tcW w:type="dxa" w:w="3331"/>
            <w:vAlign w:val="center"/>
          </w:tcPr>
          <w:p>
            <w:r>
              <w:t>One primary</w:t>
            </w:r>
          </w:p>
        </w:tc>
      </w:tr>
      <w:tr>
        <w:tc>
          <w:tcPr>
            <w:tcW w:type="dxa" w:w="3331"/>
            <w:vAlign w:val="center"/>
          </w:tcPr>
          <w:p>
            <w:r>
              <w:t>Sensor Suite</w:t>
            </w:r>
          </w:p>
        </w:tc>
        <w:tc>
          <w:tcPr>
            <w:tcW w:type="dxa" w:w="3331"/>
            <w:vAlign w:val="center"/>
          </w:tcPr>
          <w:p>
            <w:r>
              <w:t>3 early / 2 later</w:t>
            </w:r>
          </w:p>
        </w:tc>
        <w:tc>
          <w:tcPr>
            <w:tcW w:type="dxa" w:w="3331"/>
            <w:vAlign w:val="center"/>
          </w:tcPr>
          <w:p>
            <w:r>
              <w:t>One primary</w:t>
            </w:r>
          </w:p>
        </w:tc>
      </w:tr>
      <w:tr>
        <w:tc>
          <w:tcPr>
            <w:tcW w:type="dxa" w:w="3331"/>
            <w:vAlign w:val="center"/>
          </w:tcPr>
          <w:p>
            <w:r>
              <w:t>Shield</w:t>
            </w:r>
          </w:p>
        </w:tc>
        <w:tc>
          <w:tcPr>
            <w:tcW w:type="dxa" w:w="3331"/>
            <w:vAlign w:val="center"/>
          </w:tcPr>
          <w:p>
            <w:r>
              <w:t>3 early / 2 later</w:t>
            </w:r>
          </w:p>
        </w:tc>
        <w:tc>
          <w:tcPr>
            <w:tcW w:type="dxa" w:w="3331"/>
            <w:vAlign w:val="center"/>
          </w:tcPr>
          <w:p>
            <w:r>
              <w:t>Optional broadly; standard cruiser includes it</w:t>
            </w:r>
          </w:p>
        </w:tc>
      </w:tr>
      <w:tr>
        <w:tc>
          <w:tcPr>
            <w:tcW w:type="dxa" w:w="3331"/>
            <w:vAlign w:val="center"/>
          </w:tcPr>
          <w:p>
            <w:r>
              <w:t>Primary Armor</w:t>
            </w:r>
          </w:p>
        </w:tc>
        <w:tc>
          <w:tcPr>
            <w:tcW w:type="dxa" w:w="3331"/>
            <w:vAlign w:val="center"/>
          </w:tcPr>
          <w:p>
            <w:r>
              <w:t>0</w:t>
            </w:r>
          </w:p>
        </w:tc>
        <w:tc>
          <w:tcPr>
            <w:tcW w:type="dxa" w:w="3331"/>
            <w:vAlign w:val="center"/>
          </w:tcPr>
          <w:p>
            <w:r>
              <w:t>Hull-integrated base layer</w:t>
            </w:r>
          </w:p>
        </w:tc>
      </w:tr>
    </w:tbl>
    <w:p>
      <w:pPr>
        <w:pStyle w:val="Heading1"/>
      </w:pPr>
      <w:r>
        <w:t>5. Technology and Research</w:t>
      </w:r>
    </w:p>
    <w:p>
      <w:r>
        <w:t>TL1-TL9 are player-researchable; TL10 is reserved for Precursor/exotic capabilities. TL1 is high near-future, TL2-TL4 fusion-era early SF, TL5-TL7 antimatter-era higher SF, and TL8-TL9 matter-conversion/gravitic science-fantasy. Progress may include quiet TLs, maturation, cross-pollination and legacy revival. The current numerical authority is the Current TL Tree; the Storyboard/Idea Register are references, not numerical authority.</w:t>
      </w:r>
    </w:p>
    <w:p>
      <w:pPr>
        <w:pStyle w:val="Heading1"/>
      </w:pPr>
      <w:r>
        <w:t>6. Combat Sequence and Information</w:t>
      </w:r>
    </w:p>
    <w:p>
      <w:r>
        <w:t>Current phase order is Movement → Electronic Warfare / Track Update → Direct Fire → Missile / Interception → Damage → Damage Control, with turn-refresh and pre-Movement power planning as explicit timing windows. Later information cannot retroactively rewrite earlier commitments. AI and player automation may use only legitimately observed information.</w:t>
      </w:r>
    </w:p>
    <w:p>
      <w:pPr>
        <w:pStyle w:val="Heading2"/>
      </w:pPr>
      <w:r>
        <w:t>6.1 Direct fire</w:t>
      </w:r>
    </w:p>
    <w:p>
      <w:r>
        <w:t>Firm track carries 0 percentage-point track penalty. Approximate direct fire, when permitted, carries -25 percentage points. Extended range (Standard Range &lt; range &lt;= Maximum Range) carries -10 percentage points; Approximate and Extended penalties stack. Fire beyond Maximum Range is illegal. Missiles do not use the direct-fire Extended-range penalty.</w:t>
      </w:r>
    </w:p>
    <w:p>
      <w:pPr>
        <w:pStyle w:val="Heading2"/>
      </w:pPr>
      <w:r>
        <w:t>6.2 Weapon identities</w:t>
      </w:r>
    </w:p>
    <w:p>
      <w:r>
        <w:t>Kinetic Main Weapons are ammunition-limited, medium-TP direct fire with APEN. Energy Main Weapons are higher-TP direct fire with SPEN and explicit Low/Standard/Overload TL values. GP Missiles are long-duration Flight weapons using current raw-damage/guidance ladders. Swarmer is available from TL2 and divides one launcher Flight into two PDS-visible sub-flights sharing PDS Reaction Capacity; each surviving sub-flight resolves its own guidance/damage packet.</w:t>
      </w:r>
    </w:p>
    <w:p>
      <w:pPr>
        <w:pStyle w:val="Heading2"/>
      </w:pPr>
      <w:r>
        <w:t>6.3 Sensors and EW</w:t>
      </w:r>
    </w:p>
    <w:p>
      <w:r>
        <w:t>Sensors provide passive and active track modes. ECM, ECCM, Sensor Discrimination and burn-through interact during Track Update. Same-type ECM/ECCM ratings never add; multiple copies are redundancy. Same-hex LOS cannot be occluded. Hidden hostile ratings/internal margin arithmetic are not disclosed merely because the simulator knows them.</w:t>
      </w:r>
    </w:p>
    <w:p>
      <w:pPr>
        <w:pStyle w:val="Heading2"/>
      </w:pPr>
      <w:r>
        <w:t>6.4 Point Defense</w:t>
      </w:r>
    </w:p>
    <w:p>
      <w:r>
        <w:t>Kinetic PDS, Energy PDS and AMM retain distinct identities. Reaction Capacity is finite each turn and readiness consumes family/TL-specific TP. Kinetic PDS and AMM consume ammunition; Energy PDS is ammunition-free but power-intensive. AMM gains its high-TL range-1/third-attempt architecture. Routine target allocation is automated and observable.</w:t>
      </w:r>
    </w:p>
    <w:p>
      <w:pPr>
        <w:pStyle w:val="Heading1"/>
      </w:pPr>
      <w:r>
        <w:t>7. DEF/RES Damage Model</w:t>
      </w:r>
    </w:p>
    <w:p>
      <w:r>
        <w:t>The current working design is DEF/RES v1. Shield DEF is whole-packet deflection probability; SPEN reduces effective DEF before the roll, with a 45 pp effective cap. Armor RES is fractional mitigation; APEN reduces effective RES before mitigation, with a 95 pp cap. Base Shield DEF and Armor RES are 20/22/24/26/28/30/32/34/36% across TL1-TL9. Ordinary layer order is Shield → optional Ablative Armor → primary Armor → Hull. Armor RES stops applying once primary Armor collapses.</w:t>
      </w:r>
    </w:p>
    <w:p>
      <w:pPr>
        <w:pStyle w:val="Heading1"/>
      </w:pPr>
      <w:r>
        <w:t>8. Tactical Power, Reactors, and APU</w:t>
      </w:r>
    </w:p>
    <w:p>
      <w:r>
        <w:t>Main Reactor is always 6 Space and produces 5/6/7/8/9/10/11/12/13 Operational TP across TL1-TL9. The Auxiliary Power Unit (APU) is always 2 Space and produces +1 Operational TP at TL1-TL4 and +2 at TL5-TL9. APU output stacks additively and no arbitrary copy cap is imposed; repeated APUs pay normal Installation Space opportunity cost. Tactical Power remains intentionally scarce among weapons, Sensors/EW, PDS, powered AUX, movement bursts, recovery and Damage Control. Extra available TP is optional capacity and must never force a harmful optional activation.</w:t>
      </w:r>
    </w:p>
    <w:p>
      <w:r>
        <w:t>Main Reactor profiles also define Degraded/Emergency output and overload/Strain behavior. Their isolated Operational values are closed; whole-system integration must now exercise damaged-state transitions/load shedding and mature APU damage/distributed resilience.</w:t>
      </w:r>
    </w:p>
    <w:p>
      <w:pPr>
        <w:pStyle w:val="Heading1"/>
      </w:pPr>
      <w:r>
        <w:t>9. Shield, Armor, AUX, and Recovery</w:t>
      </w:r>
    </w:p>
    <w:p>
      <w:r>
        <w:t>Current selected combat/endurance AUX includes APU, Shield Battery, Shield Booster, Shield Hardener, Ablative Armor, Energized Armor, Crystalline Armor, Field Stabilizer, Repair Drone Bay, Kinetic Magazine and Missile Magazine. Shield Hardener is broad powered DEF; Field Stabilizer is specialist anti-SPEN. Crystalline Armor is a non-regenerative branch trading tactical regeneration for additional capacity/RES. Magazines primarily provide endurance/logistics value.</w:t>
      </w:r>
    </w:p>
    <w:p>
      <w:r>
        <w:t>Damage Control uses Operational → Degraded → Disabled → Destroyed component states. Normal attempts spend 1 TP and one prepared Repair Kit, using current TL-specific chances. Destroyed components are not field-repairable by default. Repair Drone Bay adds one additional Damage Control action in the phase against a different eligible target, never a same-target reroll; it uses normal TP/chance/kit rules and carries one additional default prepared-kit load.</w:t>
      </w:r>
    </w:p>
    <w:p>
      <w:pPr>
        <w:pStyle w:val="Heading1"/>
      </w:pPr>
      <w:r>
        <w:t>10. Movement, Fuel, Ammunition</w:t>
      </w:r>
    </w:p>
    <w:p>
      <w:r>
        <w:t>Baseline cruiser Fuel is 100. Tactical movement costs 2 Fuel per hex traversed; Evasive Maneuvering costs +1 Fuel per turn; STL overload costs +2 Fuel and 1 TP for +1 Move. Current STL Move equals installed Drive TL. Missile Flights move each turn, track distance travelled and cannot exceed maximum range. Kinetic Main/PDS, Missile Flights and AMM stores are finite; magazine AUX adds +25 of the corresponding store.</w:t>
      </w:r>
    </w:p>
    <w:p>
      <w:pPr>
        <w:pStyle w:val="Heading1"/>
      </w:pPr>
      <w:r>
        <w:t>11. Crew, Mission Systems, Economy, Diplomacy</w:t>
      </w:r>
    </w:p>
    <w:p>
      <w:r>
        <w:t>Crew, senior officers, shuttles, planetary operations, science/mining/medical/fabrication/cargo systems, strategic fuel processing/storage and campaign-weighted endurance remain foundation concepts but are not all fully integrated tactical systems. The home system supports major repair/refit/storage/research rather than colony management. Alien civilizations may trade, ally, provide information or become hostile; the player influences rather than directly commands allied fleets.</w:t>
      </w:r>
    </w:p>
    <w:p>
      <w:pPr>
        <w:pStyle w:val="Heading1"/>
      </w:pPr>
      <w:r>
        <w:t>12. Procedural Generation and Presentation</w:t>
      </w:r>
    </w:p>
    <w:p>
      <w:r>
        <w:t>Campaign seeds vary cluster geometry, systems, alien dispositions, enemy territory/motivation, first-ship fate, precursor opportunities and events while preserving causal readability and winnability. UI should show legitimately known tracks, ownership, power, ammunition, damage and phase state without leaking hidden enemy internals. Color reinforces but does not solely encode state.</w:t>
      </w:r>
    </w:p>
    <w:p>
      <w:pPr>
        <w:pStyle w:val="Heading1"/>
      </w:pPr>
      <w:r>
        <w:t>13. Whole-System Integration Boundary</w:t>
      </w:r>
    </w:p>
    <w:p>
      <w:r>
        <w:t>Isolated calibration is closed for current weapon ladders, PDS, DEF/RES defenses, selected AUX, and Operational Main-Reactor/APU power. Whole-system evidence may reopen a value only when a genuine integrated pathology appears.</w:t>
      </w:r>
    </w:p>
    <w:p>
      <w:pPr>
        <w:pStyle w:val="ListBullet"/>
      </w:pPr>
      <w:r>
        <w:t>Integrate Main Reactor Operational/Degraded/Emergency state transitions into whole-system combat.</w:t>
      </w:r>
    </w:p>
    <w:p>
      <w:pPr>
        <w:pStyle w:val="ListBullet"/>
      </w:pPr>
      <w:r>
        <w:t>Define/integrate mature APU damaged behavior and distributed resilience.</w:t>
      </w:r>
    </w:p>
    <w:p>
      <w:pPr>
        <w:pStyle w:val="ListBullet"/>
      </w:pPr>
      <w:r>
        <w:t>Integrate Repair Drone distinct-target component Damage Control in the full combat kernel.</w:t>
      </w:r>
    </w:p>
    <w:p>
      <w:pPr>
        <w:pStyle w:val="ListBullet"/>
      </w:pPr>
      <w:r>
        <w:t>Investigate tactical allocator monotonicity (CP164 TL8 Energy/ECM regression).</w:t>
      </w:r>
    </w:p>
    <w:p>
      <w:pPr>
        <w:pStyle w:val="ListBullet"/>
      </w:pPr>
      <w:r>
        <w:t>After whole-system validation, explicitly promote current working research values into production authority.</w:t>
      </w:r>
    </w:p>
    <w:p>
      <w:pPr>
        <w:pStyle w:val="Heading1"/>
      </w:pPr>
      <w:r>
        <w:t>Appendix A. Current Authority Map</w:t>
      </w:r>
    </w:p>
    <w:p>
      <w:r>
        <w:t>Use docs/CURRENT_AUTHORITIES.md. The Current TL Tree is the numerical presentation; Combat System Reference is the mechanics companion. Storyboard/Idea Register are references. Checkpoint validation and archives preserve history/evidence, not current rules.</w:t>
      </w:r>
    </w:p>
    <w:p>
      <w:pPr>
        <w:pStyle w:val="Heading1"/>
      </w:pPr>
      <w:r>
        <w:t>Appendix B. Glossary</w:t>
      </w:r>
    </w:p>
    <w:tbl>
      <w:tblPr>
        <w:tblStyle w:val="TableGrid"/>
        <w:tblW w:type="auto" w:w="0"/>
        <w:jc w:val="center"/>
        <w:tblLook w:firstColumn="1" w:firstRow="1" w:lastColumn="0" w:lastRow="0" w:noHBand="0" w:noVBand="1" w:val="04A0"/>
      </w:tblPr>
      <w:tblGrid>
        <w:gridCol w:w="4997"/>
        <w:gridCol w:w="4997"/>
      </w:tblGrid>
      <w:tr>
        <w:tc>
          <w:tcPr>
            <w:tcW w:type="dxa" w:w="4997"/>
            <w:shd w:fill="17365D"/>
          </w:tcPr>
          <w:p>
            <w:r>
              <w:rPr>
                <w:b/>
                <w:color w:val="FFFFFF"/>
              </w:rPr>
              <w:t>Term</w:t>
            </w:r>
          </w:p>
        </w:tc>
        <w:tc>
          <w:tcPr>
            <w:tcW w:type="dxa" w:w="4997"/>
            <w:shd w:fill="17365D"/>
          </w:tcPr>
          <w:p>
            <w:r>
              <w:rPr>
                <w:b/>
                <w:color w:val="FFFFFF"/>
              </w:rPr>
              <w:t>Meaning</w:t>
            </w:r>
          </w:p>
        </w:tc>
      </w:tr>
      <w:tr>
        <w:tc>
          <w:tcPr>
            <w:tcW w:type="dxa" w:w="4997"/>
            <w:vAlign w:val="center"/>
          </w:tcPr>
          <w:p>
            <w:r>
              <w:t>APEN</w:t>
            </w:r>
          </w:p>
        </w:tc>
        <w:tc>
          <w:tcPr>
            <w:tcW w:type="dxa" w:w="4997"/>
            <w:vAlign w:val="center"/>
          </w:tcPr>
          <w:p>
            <w:r>
              <w:t>Armor penetration; reduces effective Armor RES.</w:t>
            </w:r>
          </w:p>
        </w:tc>
      </w:tr>
      <w:tr>
        <w:tc>
          <w:tcPr>
            <w:tcW w:type="dxa" w:w="4997"/>
            <w:vAlign w:val="center"/>
          </w:tcPr>
          <w:p>
            <w:r>
              <w:t>SPEN</w:t>
            </w:r>
          </w:p>
        </w:tc>
        <w:tc>
          <w:tcPr>
            <w:tcW w:type="dxa" w:w="4997"/>
            <w:vAlign w:val="center"/>
          </w:tcPr>
          <w:p>
            <w:r>
              <w:t>Shield penetration; reduces effective Shield DEF.</w:t>
            </w:r>
          </w:p>
        </w:tc>
      </w:tr>
      <w:tr>
        <w:tc>
          <w:tcPr>
            <w:tcW w:type="dxa" w:w="4997"/>
            <w:vAlign w:val="center"/>
          </w:tcPr>
          <w:p>
            <w:r>
              <w:t>DEF</w:t>
            </w:r>
          </w:p>
        </w:tc>
        <w:tc>
          <w:tcPr>
            <w:tcW w:type="dxa" w:w="4997"/>
            <w:vAlign w:val="center"/>
          </w:tcPr>
          <w:p>
            <w:r>
              <w:t>Shield whole-packet deflection probability.</w:t>
            </w:r>
          </w:p>
        </w:tc>
      </w:tr>
      <w:tr>
        <w:tc>
          <w:tcPr>
            <w:tcW w:type="dxa" w:w="4997"/>
            <w:vAlign w:val="center"/>
          </w:tcPr>
          <w:p>
            <w:r>
              <w:t>RES</w:t>
            </w:r>
          </w:p>
        </w:tc>
        <w:tc>
          <w:tcPr>
            <w:tcW w:type="dxa" w:w="4997"/>
            <w:vAlign w:val="center"/>
          </w:tcPr>
          <w:p>
            <w:r>
              <w:t>Armor fractional mitigation.</w:t>
            </w:r>
          </w:p>
        </w:tc>
      </w:tr>
      <w:tr>
        <w:tc>
          <w:tcPr>
            <w:tcW w:type="dxa" w:w="4997"/>
            <w:vAlign w:val="center"/>
          </w:tcPr>
          <w:p>
            <w:r>
              <w:t>APU</w:t>
            </w:r>
          </w:p>
        </w:tc>
        <w:tc>
          <w:tcPr>
            <w:tcW w:type="dxa" w:w="4997"/>
            <w:vAlign w:val="center"/>
          </w:tcPr>
          <w:p>
            <w:r>
              <w:t>Auxiliary Power Unit; 2-Space Tactical Power generator.</w:t>
            </w:r>
          </w:p>
        </w:tc>
      </w:tr>
      <w:tr>
        <w:tc>
          <w:tcPr>
            <w:tcW w:type="dxa" w:w="4997"/>
            <w:vAlign w:val="center"/>
          </w:tcPr>
          <w:p>
            <w:r>
              <w:t>Installation Space</w:t>
            </w:r>
          </w:p>
        </w:tc>
        <w:tc>
          <w:tcPr>
            <w:tcW w:type="dxa" w:w="4997"/>
            <w:vAlign w:val="center"/>
          </w:tcPr>
          <w:p>
            <w:r>
              <w:t>Universal installed mass/volume/integration abstraction.</w:t>
            </w:r>
          </w:p>
        </w:tc>
      </w:tr>
      <w:tr>
        <w:tc>
          <w:tcPr>
            <w:tcW w:type="dxa" w:w="4997"/>
            <w:vAlign w:val="center"/>
          </w:tcPr>
          <w:p>
            <w:r>
              <w:t>Tactical Power</w:t>
            </w:r>
          </w:p>
        </w:tc>
        <w:tc>
          <w:tcPr>
            <w:tcW w:type="dxa" w:w="4997"/>
            <w:vAlign w:val="center"/>
          </w:tcPr>
          <w:p>
            <w:r>
              <w:t>Per-turn discretionary operating power.</w:t>
            </w:r>
          </w:p>
        </w:tc>
      </w:tr>
      <w:tr>
        <w:tc>
          <w:tcPr>
            <w:tcW w:type="dxa" w:w="4997"/>
            <w:vAlign w:val="center"/>
          </w:tcPr>
          <w:p>
            <w:r>
              <w:t>Missile Flight</w:t>
            </w:r>
          </w:p>
        </w:tc>
        <w:tc>
          <w:tcPr>
            <w:tcW w:type="dxa" w:w="4997"/>
            <w:vAlign w:val="center"/>
          </w:tcPr>
          <w:p>
            <w:r>
              <w:t>Abstract salvo/counter, not one literal missile.</w:t>
            </w:r>
          </w:p>
        </w:tc>
      </w:tr>
      <w:tr>
        <w:tc>
          <w:tcPr>
            <w:tcW w:type="dxa" w:w="4997"/>
            <w:vAlign w:val="center"/>
          </w:tcPr>
          <w:p>
            <w:r>
              <w:t>Reaction Capacity</w:t>
            </w:r>
          </w:p>
        </w:tc>
        <w:tc>
          <w:tcPr>
            <w:tcW w:type="dxa" w:w="4997"/>
            <w:vAlign w:val="center"/>
          </w:tcPr>
          <w:p>
            <w:r>
              <w:t>PDS per-turn reaction resource.</w:t>
            </w:r>
          </w:p>
        </w:tc>
      </w:tr>
      <w:tr>
        <w:tc>
          <w:tcPr>
            <w:tcW w:type="dxa" w:w="4997"/>
            <w:vAlign w:val="center"/>
          </w:tcPr>
          <w:p>
            <w:r>
              <w:t>Pending Finalization</w:t>
            </w:r>
          </w:p>
        </w:tc>
        <w:tc>
          <w:tcPr>
            <w:tcW w:type="dxa" w:w="4997"/>
            <w:vAlign w:val="center"/>
          </w:tcPr>
          <w:p>
            <w:r>
              <w:t>Native-validated current working selection awaiting whole-system production promotion.</w:t>
            </w:r>
          </w:p>
        </w:tc>
      </w:tr>
    </w:tbl>
    <w:sectPr w:rsidR="00FC693F" w:rsidRPr="0006063C" w:rsidSect="00034616">
      <w:pgSz w:w="12240" w:h="15840"/>
      <w:pgMar w:top="936"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