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  •  July 26,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pPr>
        <w:widowControl w:val="1"/>
      </w:pPr>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0.3</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July 26,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p>
      <w:pPr>
        <w:widowControl w:val="1"/>
      </w:pPr>
      <w:r>
        <w:br w:type="page"/>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 map, narrative, FTL, and architecture revision</w:t>
              <w:br/>
              <w:t>This revision adopts Star Cluster as the working title; selects axial hex maps; separates the likely 17-across strategic starmap from the 11-across system map; defines the nearby first-ship transit incident; establishes charted versus uncharted FTL movement; and replaces the earlier Delphi/FireMonkey prototype direction with Godot .NET plus an engine-independent C# core.</w:t>
            </w:r>
          </w:p>
        </w:tc>
      </w:tr>
    </w:tbl>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pPr>
        <w:widowControl w:val="1"/>
      </w:pPr>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planets, and other major bodies can block direct fire and may be used deliberately as tactical cover.</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a visible ordered sequence—contact, movement, missile/interception, direct fire, damage, and damage control—so the player can anticipate movement, shuttle exposure, and time pressure.</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Contact</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classification, stealth, jamming, surprise, and target-lock quality</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Sublight maneuver, range changes, pursuit or withdrawal, cover, and line-of-sight changes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Missile / interception</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Launch or advance ordnance; resolve held energy defense and Point Defense systems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Direct fire</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committed projectile and energy attacks that have valid range and line of sight</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travel time, interception, guidance, and occlusion penalties</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star or planet blocks direct line of sight. Energy and projectile weapons cannot attack through the body. Missiles or torpedoes may attempt an indirect route when guidance permits, but should suffer a clear delay, accuracy, or interception penalty.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is valid tactics</w:t>
            </w:r>
          </w:p>
          <w:p>
            <w:pPr>
              <w:spacing w:after="0" w:line="259" w:lineRule="auto"/>
            </w:pPr>
            <w:r>
              <w:rPr>
                <w:rFonts w:ascii="Aptos" w:hAnsi="Aptos"/>
                <w:color w:val="24313D"/>
                <w:sz w:val="19"/>
              </w:rPr>
              <w:t>Using a planet or star to break line of sight is an intentional defensive and positioning option, not an edge case. Enemy ships may use the same tactic. Terrain should create a few memorable decisions rather than a long list of situational modifiers.</w:t>
            </w:r>
          </w:p>
        </w:tc>
      </w:tr>
    </w:tbl>
    <w:p>
      <w:pPr>
        <w:pStyle w:val="Heading2"/>
      </w:pPr>
      <w:r>
        <w:t>10.5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10.6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10.7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missile travel, interception capacity,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bodies occupy cells, how long indirect missiles take, and which terrain types enter the first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t>DESIGN NOTE  Next design pass</w:t>
              <w:br/>
              <w:t>The immediate implementation sequence is the engine-independent map model, occupancy, line-of-sight obstruction, and strategic travel rules. After the first Godot technical slice, refine campaign and system action economy and assign concrete combat values.</w:t>
            </w:r>
          </w:p>
        </w:tc>
      </w:tr>
    </w:tbl>
    <w:p>
      <w:pPr>
        <w:spacing w:after="20"/>
        <w:widowControl w:val="1"/>
      </w:pPr>
    </w:p>
    <w:p>
      <w:pPr>
        <w:widowControl w:val="1"/>
      </w:pPr>
      <w:r>
        <w:br w:type="page"/>
      </w: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can block direct-fire line of sight; indirect missile attacks may remain possible with a clear penalty or delay.</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c>
          <w:tcPr>
            <w:tcW w:type="dxa" w:w="3331"/>
          </w:tcPr>
          <w:p>
            <w:pPr>
              <w:spacing w:after="40"/>
            </w:pPr>
            <w:r>
              <w:t>D-027</w:t>
            </w:r>
          </w:p>
        </w:tc>
        <w:tc>
          <w:tcPr>
            <w:tcW w:type="dxa" w:w="3331"/>
          </w:tcPr>
          <w:p>
            <w:pPr>
              <w:spacing w:after="40"/>
            </w:pPr>
            <w:r>
              <w:t>Use a radius-5, 11-across system map; place a single star at (0,0) when present; defer binary and trinary systems.</w:t>
            </w:r>
          </w:p>
        </w:tc>
        <w:tc>
          <w:tcPr>
            <w:tcW w:type="dxa" w:w="3331"/>
          </w:tcPr>
          <w:p>
            <w:pPr>
              <w:spacing w:after="40"/>
            </w:pPr>
            <w:r>
              <w:t>Current direction</w:t>
            </w:r>
          </w:p>
        </w:tc>
      </w:tr>
      <w:tr>
        <w:tc>
          <w:tcPr>
            <w:tcW w:type="dxa" w:w="3331"/>
          </w:tcPr>
          <w:p>
            <w:pPr>
              <w:spacing w:after="40"/>
            </w:pPr>
            <w:r>
              <w:t>D-028</w:t>
            </w:r>
          </w:p>
        </w:tc>
        <w:tc>
          <w:tcPr>
            <w:tcW w:type="dxa" w:w="3331"/>
          </w:tcPr>
          <w:p>
            <w:pPr>
              <w:spacing w:after="40"/>
            </w:pPr>
            <w:r>
              <w:t>Use a likely radius-8, 17-across strategic starmap for the campaign, while retaining configurable map size.</w:t>
            </w:r>
          </w:p>
        </w:tc>
        <w:tc>
          <w:tcPr>
            <w:tcW w:type="dxa" w:w="3331"/>
          </w:tcPr>
          <w:p>
            <w:pPr>
              <w:spacing w:after="40"/>
            </w:pPr>
            <w:r>
              <w:t>Current direction / validate in playtest</w:t>
            </w:r>
          </w:p>
        </w:tc>
      </w:tr>
      <w:tr>
        <w:tc>
          <w:tcPr>
            <w:tcW w:type="dxa" w:w="3331"/>
          </w:tcPr>
          <w:p>
            <w:pPr>
              <w:spacing w:after="40"/>
            </w:pPr>
            <w:r>
              <w:t>D-029</w:t>
            </w:r>
          </w:p>
        </w:tc>
        <w:tc>
          <w:tcPr>
            <w:tcW w:type="dxa" w:w="3331"/>
          </w:tcPr>
          <w:p>
            <w:pPr>
              <w:spacing w:after="40"/>
            </w:pPr>
            <w:r>
              <w:t>Place the home system two hexes off center with randomized orientation; place the first-ship incident normally two hexes from home toward the larger frontier.</w:t>
            </w:r>
          </w:p>
        </w:tc>
        <w:tc>
          <w:tcPr>
            <w:tcW w:type="dxa" w:w="3331"/>
          </w:tcPr>
          <w:p>
            <w:pPr>
              <w:spacing w:after="40"/>
            </w:pPr>
            <w:r>
              <w:t>Current direction</w:t>
            </w:r>
          </w:p>
        </w:tc>
      </w:tr>
      <w:tr>
        <w:tc>
          <w:tcPr>
            <w:tcW w:type="dxa" w:w="3331"/>
          </w:tcPr>
          <w:p>
            <w:pPr>
              <w:spacing w:after="40"/>
            </w:pPr>
            <w:r>
              <w:t>D-030</w:t>
            </w:r>
          </w:p>
        </w:tc>
        <w:tc>
          <w:tcPr>
            <w:tcW w:type="dxa" w:w="3331"/>
          </w:tcPr>
          <w:p>
            <w:pPr>
              <w:spacing w:after="40"/>
            </w:pPr>
            <w:r>
              <w:t>Treat starmap cells as sectors that may contain systems, open space, anomalies, hazards, or nothing immediately visible.</w:t>
            </w:r>
          </w:p>
        </w:tc>
        <w:tc>
          <w:tcPr>
            <w:tcW w:type="dxa" w:w="3331"/>
          </w:tcPr>
          <w:p>
            <w:pPr>
              <w:spacing w:after="40"/>
            </w:pPr>
            <w:r>
              <w:t>Current direction</w:t>
            </w:r>
          </w:p>
        </w:tc>
      </w:tr>
      <w:tr>
        <w:tc>
          <w:tcPr>
            <w:tcW w:type="dxa" w:w="3331"/>
          </w:tcPr>
          <w:p>
            <w:pPr>
              <w:spacing w:after="40"/>
            </w:pPr>
            <w:r>
              <w:t>D-031</w:t>
            </w:r>
          </w:p>
        </w:tc>
        <w:tc>
          <w:tcPr>
            <w:tcW w:type="dxa" w:w="3331"/>
          </w:tcPr>
          <w:p>
            <w:pPr>
              <w:spacing w:after="40"/>
            </w:pPr>
            <w:r>
              <w:t>Track Unknown, Charted, and Surveyed sector knowledge; entering an Unknown sector normally ends strategic movement.</w:t>
            </w:r>
          </w:p>
        </w:tc>
        <w:tc>
          <w:tcPr>
            <w:tcW w:type="dxa" w:w="3331"/>
          </w:tcPr>
          <w:p>
            <w:pPr>
              <w:spacing w:after="40"/>
            </w:pPr>
            <w:r>
              <w:t>Current direction</w:t>
            </w:r>
          </w:p>
        </w:tc>
      </w:tr>
      <w:tr>
        <w:tc>
          <w:tcPr>
            <w:tcW w:type="dxa" w:w="3331"/>
          </w:tcPr>
          <w:p>
            <w:pPr>
              <w:spacing w:after="40"/>
            </w:pPr>
            <w:r>
              <w:t>D-032</w:t>
            </w:r>
          </w:p>
        </w:tc>
        <w:tc>
          <w:tcPr>
            <w:tcW w:type="dxa" w:w="3331"/>
          </w:tcPr>
          <w:p>
            <w:pPr>
              <w:spacing w:after="40"/>
            </w:pPr>
            <w:r>
              <w:t>Use provisional FTL movement of one strategic hex per FTL TL per turn, from TL 1 through TL 9, resolved sector by sector.</w:t>
            </w:r>
          </w:p>
        </w:tc>
        <w:tc>
          <w:tcPr>
            <w:tcW w:type="dxa" w:w="3331"/>
          </w:tcPr>
          <w:p>
            <w:pPr>
              <w:spacing w:after="40"/>
            </w:pPr>
            <w:r>
              <w:t>Current direction / validate in playtest</w:t>
            </w:r>
          </w:p>
        </w:tc>
      </w:tr>
      <w:tr>
        <w:tc>
          <w:tcPr>
            <w:tcW w:type="dxa" w:w="3331"/>
          </w:tcPr>
          <w:p>
            <w:pPr>
              <w:spacing w:after="40"/>
            </w:pPr>
            <w:r>
              <w:t>D-033</w:t>
            </w:r>
          </w:p>
        </w:tc>
        <w:tc>
          <w:tcPr>
            <w:tcW w:type="dxa" w:w="3331"/>
          </w:tcPr>
          <w:p>
            <w:pPr>
              <w:spacing w:after="40"/>
            </w:pPr>
            <w:r>
              <w:t>The first ship completed local tests and surveys before being attacked in a nearby transit sector; the incident does not identify the enemy homeland’s direction.</w:t>
            </w:r>
          </w:p>
        </w:tc>
        <w:tc>
          <w:tcPr>
            <w:tcW w:type="dxa" w:w="3331"/>
          </w:tcPr>
          <w:p>
            <w:pPr>
              <w:spacing w:after="40"/>
            </w:pPr>
            <w:r>
              <w:t>Current direction</w:t>
            </w:r>
          </w:p>
        </w:tc>
      </w:tr>
      <w:tr>
        <w:tc>
          <w:tcPr>
            <w:tcW w:type="dxa" w:w="3331"/>
          </w:tcPr>
          <w:p>
            <w:pPr>
              <w:spacing w:after="40"/>
            </w:pPr>
            <w:r>
              <w:t>D-034</w:t>
            </w:r>
          </w:p>
        </w:tc>
        <w:tc>
          <w:tcPr>
            <w:tcW w:type="dxa" w:w="3331"/>
          </w:tcPr>
          <w:p>
            <w:pPr>
              <w:spacing w:after="40"/>
            </w:pPr>
            <w:r>
              <w:t>Maintain the concept document under the project docs folder and include current documentation in checkpoint deliveries.</w:t>
            </w:r>
          </w:p>
        </w:tc>
        <w:tc>
          <w:tcPr>
            <w:tcW w:type="dxa" w:w="3331"/>
          </w:tcPr>
          <w:p>
            <w:pPr>
              <w:spacing w:after="40"/>
            </w:pPr>
            <w:r>
              <w:t>Current direction</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unobstructed direct-fire path between attacker and target; stars and planets may block 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c>
          <w:tcPr>
            <w:tcW w:type="dxa" w:w="4997"/>
          </w:tcPr>
          <w:p>
            <w:pPr>
              <w:spacing w:after="40"/>
            </w:pPr>
            <w:r>
              <w:t>Sector</w:t>
            </w:r>
          </w:p>
        </w:tc>
        <w:tc>
          <w:tcPr>
            <w:tcW w:type="dxa" w:w="4997"/>
          </w:tcPr>
          <w:p>
            <w:pPr>
              <w:spacing w:after="40"/>
            </w:pPr>
            <w:r>
              <w:t>One strategic starmap hex representing a region of space; it may contain a star system, open space, hazards, anomalies, installations, or nothing immediately visible.</w:t>
            </w:r>
          </w:p>
        </w:tc>
      </w:tr>
      <w:tr>
        <w:tc>
          <w:tcPr>
            <w:tcW w:type="dxa" w:w="4997"/>
          </w:tcPr>
          <w:p>
            <w:pPr>
              <w:spacing w:after="40"/>
            </w:pPr>
            <w:r>
              <w:t>Unknown sector</w:t>
            </w:r>
          </w:p>
        </w:tc>
        <w:tc>
          <w:tcPr>
            <w:tcW w:type="dxa" w:w="4997"/>
          </w:tcPr>
          <w:p>
            <w:pPr>
              <w:spacing w:after="40"/>
            </w:pPr>
            <w:r>
              <w:t>A sector without reliable navigation data; entering it normally ends remaining FTL movement for the turn.</w:t>
            </w:r>
          </w:p>
        </w:tc>
      </w:tr>
      <w:tr>
        <w:tc>
          <w:tcPr>
            <w:tcW w:type="dxa" w:w="4997"/>
          </w:tcPr>
          <w:p>
            <w:pPr>
              <w:spacing w:after="40"/>
            </w:pPr>
            <w:r>
              <w:t>Charted sector</w:t>
            </w:r>
          </w:p>
        </w:tc>
        <w:tc>
          <w:tcPr>
            <w:tcW w:type="dxa" w:w="4997"/>
          </w:tcPr>
          <w:p>
            <w:pPr>
              <w:spacing w:after="40"/>
            </w:pPr>
            <w:r>
              <w:t>A sector with sufficient navigation and hazard data for normal strategic transit.</w:t>
            </w:r>
          </w:p>
        </w:tc>
      </w:tr>
      <w:tr>
        <w:tc>
          <w:tcPr>
            <w:tcW w:type="dxa" w:w="4997"/>
          </w:tcPr>
          <w:p>
            <w:pPr>
              <w:spacing w:after="40"/>
            </w:pPr>
            <w:r>
              <w:t>Surveyed sector</w:t>
            </w:r>
          </w:p>
        </w:tc>
        <w:tc>
          <w:tcPr>
            <w:tcW w:type="dxa" w:w="4997"/>
          </w:tcPr>
          <w:p>
            <w:pPr>
              <w:spacing w:after="40"/>
            </w:pPr>
            <w:r>
              <w:t>A sector whose important locations, inhabitants, resources, anomalies, or persistent sites have been investigated.</w:t>
            </w:r>
          </w:p>
        </w:tc>
      </w:tr>
      <w:tr>
        <w:tc>
          <w:tcPr>
            <w:tcW w:type="dxa" w:w="4997"/>
          </w:tcPr>
          <w:p>
            <w:pPr>
              <w:spacing w:after="40"/>
            </w:pPr>
            <w:r>
              <w:t>FTL movement allowance</w:t>
            </w:r>
          </w:p>
        </w:tc>
        <w:tc>
          <w:tcPr>
            <w:tcW w:type="dxa" w:w="4997"/>
          </w:tcPr>
          <w:p>
            <w:pPr>
              <w:spacing w:after="40"/>
            </w:pPr>
            <w:r>
              <w:t>Maximum number of charted starmap hexes the ship may traverse in a strategic turn, provisionally equal to FTL Propulsion TL.</w:t>
            </w:r>
          </w:p>
        </w:tc>
      </w:tr>
      <w:tr>
        <w:tc>
          <w:tcPr>
            <w:tcW w:type="dxa" w:w="4997"/>
          </w:tcPr>
          <w:p>
            <w:pPr>
              <w:spacing w:after="40"/>
            </w:pPr>
            <w:r>
              <w:t>Incident sector</w:t>
            </w:r>
          </w:p>
        </w:tc>
        <w:tc>
          <w:tcPr>
            <w:tcW w:type="dxa" w:w="4997"/>
          </w:tcPr>
          <w:p>
            <w:pPr>
              <w:spacing w:after="40"/>
            </w:pPr>
            <w:r>
              <w:t>The nearby transit sector associated with the first ship’s final distress transmission and the campaign’s opening investigation.</w:t>
            </w:r>
          </w:p>
        </w:tc>
      </w:tr>
    </w:tbl>
    <w:p>
      <w:pPr>
        <w:spacing w:after="20"/>
        <w:widowControl w:val="1"/>
      </w:pPr>
    </w:p>
    <w:p>
      <w:pPr>
        <w:spacing w:before="280"/>
        <w:jc w:val="center"/>
        <w:widowControl w:val="1"/>
      </w:pPr>
      <w:r>
        <w:rPr>
          <w:rFonts w:ascii="Aptos Display" w:hAnsi="Aptos Display"/>
          <w:b/>
          <w:color w:val="2C6E9B"/>
          <w:sz w:val="20"/>
        </w:rPr>
        <w:t>END OF DRAFT v0.3</w:t>
      </w:r>
    </w:p>
    <w:p>
      <w:pPr>
        <w:jc w:val="center"/>
        <w:widowControl w:val="1"/>
      </w:pPr>
      <w:r>
        <w:t>Next: implement the generic hex map, occupancy, line-of-sight obstruction, and strategic travel foundation; then connect the tested core to the first Godot technical slice.</w:t>
      </w:r>
    </w:p>
    <w:sectPr w:rsidR="00FC693F" w:rsidRPr="0006063C" w:rsidSect="00034616">
      <w:headerReference w:type="default" r:id="rId9"/>
      <w:footerReference w:type="default" r:id="rId10"/>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w:t>
    </w:r>
    <w:r>
      <w:rPr>
        <w:rFonts w:ascii="Aptos" w:hAnsi="Aptos"/>
        <w:color w:val="647382"/>
        <w:sz w:val="18"/>
      </w:rPr>
      <w:t xml:space="preserve">   •   Game Concept &amp; Design Draft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dc:title>
  <dc:subject>Living game concept and technical direction for Star Cluster</dc:subject>
  <dc:creator>OpenAI and project owner</dc:creator>
  <cp:keywords>Delphi, FireMonkey, FMX, roguelike, starship, strategy, game design</cp:keywords>
  <dc:description>Version 0.3: map, narrative, FTL movement, and Godot/C# architecture direction.</dc:description>
  <cp:lastModifiedBy/>
  <cp:revision>1</cp:revision>
  <dcterms:created xsi:type="dcterms:W3CDTF">2013-12-23T23:15:00Z</dcterms:created>
  <dcterms:modified xsi:type="dcterms:W3CDTF">2013-12-23T23:15:00Z</dcterms:modified>
  <cp:category/>
</cp:coreProperties>
</file>