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jc w:val="center"/>
            </w:pPr>
            <w:r>
              <w:rPr>
                <w:rFonts w:ascii="Aptos" w:hAnsi="Aptos"/>
                <w:color w:val="FFFFFF"/>
              </w:rP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0.3t  •  July 31,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0.3t</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July 31,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p>
      <w:pPr/>
      <w:r/>
    </w:p>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the visible repeatable sequence Movement, Direct Fire, Missile / Interception, Damage, and Damage Control. Track Update is an event-driven information refresh rather than a player action phase: it runs before initial map presentation and after state changes such as committed ship movement, missile launch or movement, sensor-state changes, and object destruction.</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Provisionally 1–2 Weapon Bays; later Hull TL may reach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 1 sensor array; electronic-warfare capability may be absent</w:t>
            </w:r>
          </w:p>
        </w:tc>
      </w:tr>
      <w:tr>
        <w:tc>
          <w:tcPr>
            <w:tcW w:type="dxa" w:w="4997"/>
          </w:tcPr>
          <w:p>
            <w:r>
              <w:t>Computing / fire control</w:t>
            </w:r>
          </w:p>
        </w:tc>
        <w:tc>
          <w:tcPr>
            <w:tcW w:type="dxa" w:w="4997"/>
          </w:tcPr>
          <w:p>
            <w:r>
              <w:t>TL 1 command, targeting, and report-fusion computer</w:t>
            </w:r>
          </w:p>
        </w:tc>
      </w:tr>
      <w:tr>
        <w:tc>
          <w:tcPr>
            <w:tcW w:type="dxa" w:w="4997"/>
          </w:tcPr>
          <w:p>
            <w:r>
              <w:t>Power</w:t>
            </w:r>
          </w:p>
        </w:tc>
        <w:tc>
          <w:tcPr>
            <w:tcW w:type="dxa" w:w="4997"/>
          </w:tcPr>
          <w:p>
            <w:r>
              <w:t>TL 1 reactor with limited Tactical Power Capacity and meaningful allocation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Approximately 100 crew, treated as a resource</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Limited hull-derived capacity; individual auxiliary items are discovered, built, or installed rather than one sprawling Auxiliary research tree</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stronger and lighter structure, better compartmentation, denser service trunks, improved thermal management, automation, and support-system miniaturization.</w:t>
      </w:r>
    </w:p>
    <w:p>
      <w:pPr>
        <w:pStyle w:val="ListBullet"/>
      </w:pPr>
      <w:r>
        <w:t>Higher Hull TL unlocks staggered improvements such as additional Weapon Bay capacity, support capacity, stores, compartmentation,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Oversized or rare weapons may consume two or three Weapon Bays but remain one installed battery, one attack package, and one bay-order position using the lowest occupied bay.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energized armor controls, laboratories, mining gear, and fabrication systems may exist as individual components. They need not share a dedicated visible Auxiliary research tree; each item may use the most appropriate broad technology category and explicit prerequisites.</w:t>
      </w:r>
    </w:p>
    <w:p>
      <w:pPr>
        <w:pStyle w:val="Heading2"/>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widowControl w:val="1"/>
      </w:pPr>
      <w:r>
        <w:t>10. Combat Direction</w:t>
      </w:r>
    </w:p>
    <w:p>
      <w:pPr>
        <w:pStyle w:val="Heading2"/>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The executing fire-control component supplies data-driven minimum and maximum hit probabilities. Direct fire uses the ship Targeting Computer; missile terminal attacks use the missile Guidance Computer; PDS uses its own integrated fire control.</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or ammunition cost, and traits.</w:t>
      </w:r>
    </w:p>
    <w:p>
      <w:pPr>
        <w:pStyle w:val="ListBullet"/>
      </w:pPr>
      <w:r>
        <w:t>Beam lasers may receive better Accuracy than pulse lasers because a continuous beam can be re-steered during the engagement. Pulse lasers may trade that accuracy for damage, penetration, efficiency, or another explicit property; they remain one package.</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Heading2"/>
      </w:pPr>
      <w:r>
        <w:t>10.5 Evasive posture and fire-control compensation</w:t>
      </w:r>
    </w:p>
    <w:p>
      <w:pPr>
        <w:pStyle w:val="ListBullet"/>
      </w:pPr>
      <w:r>
        <w:t>Evasive posture is declared at the beginning of the ship’s Movement phase and remains in effect until its next Movement phase unless power, propulsion, surrender, capture, or destruction ends it.</w:t>
      </w:r>
    </w:p>
    <w:p>
      <w:pPr>
        <w:pStyle w:val="ListBullet"/>
      </w:pPr>
      <w:r>
        <w:t>The posture does not reduce movement allowance. It provisionally grants +1 defensive rating (about -10 percentage points to eligible hostile direct-fire and missile terminal attacks), doubles movement fuel cost, and costs at least one fuel unit even when the ship remains in place.</w:t>
      </w:r>
    </w:p>
    <w:p>
      <w:pPr>
        <w:pStyle w:val="ListBullet"/>
      </w:pPr>
      <w:r>
        <w:t>Evasive posture penalizes the ship’s own direct fire, held main-weapon interception, and PDS. It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uses its own integrated compensation. Missile terminal attacks use the missile Guidance Computer and are unaffected by the launcher’s later posture.</w:t>
      </w:r>
    </w:p>
    <w:p>
      <w:pPr>
        <w:pStyle w:val="Heading2"/>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ECCM independently to every target at every established Track Update. ECCM is not spent, split, retained, or manually allocated, and weapon selection does not reapply the contest.</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Active ECM is an On/Off, power-consuming self-protection system. The state normally changes at the beginning of the ship’s Movement phase and remains until the next such opportunity or until the system loses function or power.</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affect direct-fire accuracy after a Firm solution exists. They do not create Firm tracks.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Heading2"/>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w:t>
      </w:r>
    </w:p>
    <w:p>
      <w:pPr>
        <w:pStyle w:val="ListBullet"/>
      </w:pPr>
      <w:r>
        <w:t>Natural hit or ordinary miss expends the Missile Flight through effective or ineffective detonation. Search, waiting, and terminal outcomes are journaled explicitly.</w:t>
      </w:r>
    </w:p>
    <w:p>
      <w:pPr>
        <w:pStyle w:val="Heading2"/>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component has an integer Reaction Capacity that refreshes once per tactical turn. Low-TL standard PDS begins at one reaction per turn. Each attempt consumes one reaction and its normal power or ammunition whether it hits or misses.</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uses its normal ship track, LOS, range, Targeting Computer, costs, and one firing opportunity; it forfeits offensive use that turn unless a special capability explicitly adds another cycle.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Reaction Capacity</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Total engagement attempts available this tactical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Low-TL baseline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1 reaction per installed standard PDS component.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bl>
    <w:p>
      <w:pPr>
        <w:pStyle w:val="Heading2"/>
      </w:pPr>
      <w:r>
        <w:t>10.9 Deterministic layered damage and critical results</w:t>
      </w:r>
    </w:p>
    <w:p>
      <w:pPr>
        <w:pStyle w:val="ListBullet"/>
      </w:pPr>
      <w:r>
        <w:t>After a hit, damage is deterministic. Resolve the packet through current shields, armor, and hull/internal damage in that order; each later packet uses the state left by earlier packets.</w:t>
      </w:r>
    </w:p>
    <w:p>
      <w:pPr>
        <w:pStyle w:val="ListBullet"/>
      </w:pPr>
      <w:r>
        <w:t>Weapon or warhead statistics include fixed Damage, Shield Penetration, and Armor Penetration. Surplus penetration does not create an additional generic bonus.</w:t>
      </w:r>
    </w:p>
    <w:p>
      <w:pPr>
        <w:pStyle w:val="ListBullet"/>
      </w:pPr>
      <w:r>
        <w:t>Shield bypass = min(incoming damage, Shield Penetration). Shields absorb as much non-bypassed damage as current capacity allows; absorbed capacity is removed.</w:t>
      </w:r>
    </w:p>
    <w:p>
      <w:pPr>
        <w:pStyle w:val="ListBullet"/>
      </w:pPr>
      <w:r>
        <w:t>Effective armor protection = max(0, Armor Protection - Armor Penetration). Armor absorbs up to that per-attack protection and remaining Armor Integrity; absorbed Integrity is ablated. Remaining damage reaches hull/internal structure.</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adds one seeded, journaled condition step to a random eligible non-destroyed internal component.</w:t>
      </w:r>
    </w:p>
    <w:p>
      <w:pPr>
        <w:pStyle w:val="ListBullet"/>
      </w:pPr>
      <w:r>
        <w:t>Hull damage advances a hidden Starfire-inspired internal track generated from hull and installed components. H markers cause hull loss only; system markers also step the associated component condition Operational -&gt; Degraded -&gt; Disabled -&gt; Destroyed. Multiple markers may represent size, exposure, distribution, or redundancy.</w:t>
      </w:r>
    </w:p>
    <w:p>
      <w:pPr>
        <w:pStyle w:val="ListBullet"/>
      </w:pPr>
      <w:r>
        <w:t>The exact internal track is hidden from normal UI but visible to engine tests, the authoritative journal, and development diagnostics.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pPr>
      <w:r>
        <w:t>10.10 Operational state, mission kill, boarding, capture, and salvage</w:t>
      </w:r>
    </w:p>
    <w:p>
      <w:pPr>
        <w:pStyle w:val="ListBullet"/>
      </w:pPr>
      <w:r>
        <w:t>Ships have three authoritative combat states: Operational, Disabled, and Destroyed.</w:t>
      </w:r>
    </w:p>
    <w:p>
      <w:pPr>
        <w:pStyle w:val="ListBullet"/>
      </w:pPr>
      <w:r>
        <w:t>Operational means the ship can still project offensive force or meaningfully maneuver or withdraw through a persistent functional chain. A temporary lack of target, range, LOS, track, ammunition cycle, or cooldown is not a mission kill.</w:t>
      </w:r>
    </w:p>
    <w:p>
      <w:pPr>
        <w:pStyle w:val="ListBullet"/>
      </w:pPr>
      <w:r>
        <w:t>Disabled means Hull remains above zero but the ship cannot project offensive force or meaningfully maneuver/withdraw. Local defensive hazards such as PDS, active ECM, residual shields, auxiliary maneuver, life support, and security may remain functional.</w:t>
      </w:r>
    </w:p>
    <w:p>
      <w:pPr>
        <w:pStyle w:val="ListBullet"/>
      </w:pPr>
      <w:r>
        <w:t>Destroyed occurs when Hull reaches zero. Destruction applies one deterministic destruction-shock condition step to every installed internal component after ordinary packet and critical effects.</w:t>
      </w:r>
    </w:p>
    <w:p>
      <w:pPr>
        <w:pStyle w:val="ListBullet"/>
      </w:pPr>
      <w:r>
        <w:t>A Disabled ship remains a valid target. Already committed packages continue resolving and may destroy it.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pPr>
      <w:r>
        <w:t>10.12 Tactical power and reactor states</w:t>
      </w:r>
    </w:p>
    <w:p>
      <w:pPr/>
      <w:r>
        <w:t>The reactor automatically supports ordinary core ship operation and exposes one player-facing Tactical Power Capacity for discretionary combat systems. The player allocates this pool at the beginning of the turn among weapons, active defenses, ECM, active sensors, PDS readiness, shield recharge, energized armor, unusual technology, and other powered options.</w:t>
      </w:r>
    </w:p>
    <w:p>
      <w:pPr>
        <w:pStyle w:val="ListBullet"/>
      </w:pPr>
      <w:r>
        <w:t>Core power covers life support, controls, passive sensing, ordinary communications, routine ship functions, propulsion already represented by movement/fuel rules, and maintenance of an existing shield field.</w:t>
      </w:r>
    </w:p>
    <w:p>
      <w:pPr>
        <w:pStyle w:val="ListBullet"/>
      </w:pPr>
      <w:r>
        <w:t>Maintaining current shield capacity is core-powered. Restoring depleted shield capacity requires explicit Tactical Power and remains a significant choice, especially on emergency output.</w:t>
      </w:r>
    </w:p>
    <w:p>
      <w:pPr>
        <w:pStyle w:val="ListBullet"/>
      </w:pPr>
      <w:r>
        <w:t>Operational reactor: full Tactical Power Capacity. Degraded reactor: half capacity, rounded up. Disabled reactor: core bus and current shields remain, but only a small data-driven Emergency Tactical Output, normally 1–2. Destroyed reactor: no ordinary ship power or Tactical Power; isolated emergency life support remains unless an independent source sustains more.</w:t>
      </w:r>
    </w:p>
    <w:p>
      <w:pPr>
        <w:pStyle w:val="ListBullet"/>
      </w:pPr>
      <w:r>
        <w:t>Combat Batteries provide finite flexible Tactical Power charges. Shield Batteries provide finite dedicated shield energy. Energized Armor retains passive armor when unpowered and adds Armor Protection while Tactical Power is reserved.</w:t>
      </w:r>
    </w:p>
    <w:p>
      <w:pPr>
        <w:pStyle w:val="ListBullet"/>
      </w:pPr>
      <w:r>
        <w:t>A Shield Booster is a support component. Normal use improves shield recharge efficiency; an optional Overcharge mode grants a larger effect but risks degrading or disabling the booster through a bounded stress check.</w:t>
      </w:r>
    </w:p>
    <w:p>
      <w:pPr>
        <w:pStyle w:val="Heading2"/>
      </w:pPr>
      <w:r>
        <w:t>10.13 Turn commitment, power loss, and immediate component damage</w:t>
      </w:r>
    </w:p>
    <w:p>
      <w:pPr/>
      <w:r>
        <w:t>Systems successfully powered at the beginning of a turn remain energized for that turn despite later damage to the reactor or another power source. This abstracts routed energy, local capacitors, and distributed buffers. Reactor-output changes and load shedding apply at the beginning of the next turn after Damage Control.</w:t>
      </w:r>
    </w:p>
    <w:p>
      <w:pPr>
        <w:pStyle w:val="ListBullet"/>
      </w:pPr>
      <w:r>
        <w:t>Movement, direct fire, missile/interception actions, and other commitments use the capabilities and allocations established for the current turn.</w:t>
      </w:r>
    </w:p>
    <w:p>
      <w:pPr>
        <w:pStyle w:val="ListBullet"/>
      </w:pPr>
      <w:r>
        <w:t>Damage resolves during the Damage phase. Damage Control follows. The post-repair state determines next-turn Tactical Power and available systems.</w:t>
      </w:r>
    </w:p>
    <w:p>
      <w:pPr>
        <w:pStyle w:val="ListBullet"/>
      </w:pPr>
      <w:r>
        <w:t>Damage to the operating component itself takes effect immediately for subsequent resolution. A Degraded component uses degraded behavior; a Disabled or Destroyed component stops functioning. An attack package already fired remains committed.</w:t>
      </w:r>
    </w:p>
    <w:p>
      <w:pPr>
        <w:pStyle w:val="ListBullet"/>
      </w:pPr>
      <w:r>
        <w:t>Power-priority load shedding is only needed when the next turn begins and the available Tactical Power cannot sustain the requested configuration. It should follow a player-defined priority rather than interrupt damage resolution with micromanagement.</w:t>
      </w:r>
    </w:p>
    <w:p>
      <w:pPr>
        <w:pStyle w:val="Heading2"/>
      </w:pPr>
      <w:r>
        <w:t>10.14 Damage Control allocation and field repair</w:t>
      </w:r>
    </w:p>
    <w:p>
      <w:pPr/>
      <w:r>
        <w:t>Each surviving ship has a finite Damage Control Capacity. During the Damage Control phase, the player allocates all desired repair tasks before rolling. Results become operational at the beginning of the following turn.</w:t>
      </w:r>
    </w:p>
    <w:p>
      <w:pPr>
        <w:pStyle w:val="ListBullet"/>
      </w:pPr>
      <w:r>
        <w:t>Standard component repair improves Degraded to Operational or Disabled to Degraded. Destroyed components normally require a drydock. Exceptional equipment or technology may permit a difficult Destroyed-to-Disabled field rebuild.</w:t>
      </w:r>
    </w:p>
    <w:p>
      <w:pPr>
        <w:pStyle w:val="ListBullet"/>
      </w:pPr>
      <w:r>
        <w:t>One DC point enables one repair task. Additional DC assigned to that same target improve one roll rather than creating extra rolls or extra condition steps. The provisional assistance bonus is +10 percentage points per additional DC, capped at +20.</w:t>
      </w:r>
    </w:p>
    <w:p>
      <w:pPr>
        <w:pStyle w:val="ListBullet"/>
      </w:pPr>
      <w:r>
        <w:t>Provisional base chances: Degraded to Operational 70%; Disabled to Degraded 50%; repair exactly 1 Hull 40%; exceptional Destroyed to Disabled approximately 20–25%. These values require playtesting.</w:t>
      </w:r>
    </w:p>
    <w:p>
      <w:pPr>
        <w:pStyle w:val="ListBullet"/>
      </w:pPr>
      <w:r>
        <w:t>A ship may assign any number of DC points to one Hull-repair task while assigning remaining capacity elsewhere. Success restores exactly 1 Hull, regardless of assisting DC. Hull repair is deliberately slow and cannot rebuild a ship rapidly during combat.</w:t>
      </w:r>
    </w:p>
    <w:p>
      <w:pPr>
        <w:pStyle w:val="ListBullet"/>
      </w:pPr>
      <w:r>
        <w:t>Natural 01 and 100 are the only repair criticals. A critical failure may worsen the component one condition step or cause 1 additional Hull damage. Whether a critical success may improve an additional component state remains provisional; ordinary success is capped at one step.</w:t>
      </w:r>
    </w:p>
    <w:p>
      <w:pPr>
        <w:pStyle w:val="ListBullet"/>
      </w:pPr>
      <w:r>
        <w:t>Chief Engineer abilities may improve repair chance, capacity, efficiency, or once per phase downgrade a critical failure to an ordinary failure. A later senior-officer system may also let a Skilled or Legendary Chief Engineer reduce Adaptation Strain, bridge a limited one- or two-TL support shortfall for one installation, or create one temporary field jury-rig. These abilities never replace hard physical capacity, containment, mount, or non-emulatable capability requirements.</w:t>
      </w:r>
    </w:p>
    <w:p>
      <w:pPr>
        <w:pStyle w:val="ListBullet"/>
      </w:pPr>
      <w:r>
        <w:t>Every allocated DC point consumes one eligible material unit, successful or not. There are no free assisting points unless an explicit extraordinary artifact says otherwise.</w:t>
      </w:r>
    </w:p>
    <w:p>
      <w:pPr>
        <w:pStyle w:val="Heading2"/>
      </w:pPr>
      <w:r>
        <w:t>10.15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pPr>
      <w:r>
        <w:t>10.16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A dedicated armored, isolated, or volatile magazine is an explicit component trait rather than a requirement for every weapon.</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pPr>
      <w:r>
        <w:t>10.17 Internal exposure groups and major systems</w:t>
      </w:r>
    </w:p>
    <w:p>
      <w:pPr/>
      <w:r>
        <w:t>The hidden internal track must not add one marker for every minor installed component. Marker density is bounded by Hull, architecture, race/design doctrine, and a controlled mix of individualized major systems and grouped support exposure.</w:t>
      </w:r>
    </w:p>
    <w:p>
      <w:pPr>
        <w:pStyle w:val="ListBullet"/>
      </w:pPr>
      <w:r>
        <w:t>Individualize significant systems such as each installed weapon battery, shield generator, reactor, main drive, and other large or mission-critical installation.</w:t>
      </w:r>
    </w:p>
    <w:p>
      <w:pPr>
        <w:pStyle w:val="ListBullet"/>
      </w:pPr>
      <w:r>
        <w:t>Group smaller support systems into categories such as Sensors/EW, Computing/Communications, and Auxiliary/Utility. When a group marker is crossed, seeded random selection chooses one eligible component within that group.</w:t>
      </w:r>
    </w:p>
    <w:p>
      <w:pPr>
        <w:pStyle w:val="ListBullet"/>
      </w:pPr>
      <w:r>
        <w:t>Magazine exposure uses broad Kinetic, Missile, Special Weapons, and Auxiliary/PDS families. Exact magazine representation remains provisional until small, standard cruiser, station, and dreadnought examples are tested.</w:t>
      </w:r>
    </w:p>
    <w:p>
      <w:pPr>
        <w:pStyle w:val="ListBullet"/>
      </w:pPr>
      <w:r>
        <w:t>Component count must not directly inflate Hull length or guarantee that nearly every internal damage point strikes a subsystem. Exposure weighting, repeated markers for large systems, and grouped selection are balance tools, not automatic one-component-one-marker rules.</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repairs, shuttle missions, boarding,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rPr>
                <w:rFonts w:ascii="Aptos" w:hAnsi="Aptos"/>
                <w:sz w:val="18"/>
              </w:rPr>
              <w:t>Topic</w:t>
            </w:r>
          </w:p>
        </w:tc>
        <w:tc>
          <w:tcPr>
            <w:tcW w:type="dxa" w:w="4997"/>
          </w:tcPr>
          <w:p>
            <w:r>
              <w:rPr>
                <w:rFonts w:ascii="Aptos" w:hAnsi="Aptos"/>
                <w:sz w:val="18"/>
              </w:rPr>
              <w:t>Open question / next decision</w:t>
            </w:r>
          </w:p>
        </w:tc>
      </w:tr>
      <w:tr>
        <w:tc>
          <w:tcPr>
            <w:tcW w:type="dxa" w:w="4997"/>
          </w:tcPr>
          <w:p>
            <w:r>
              <w:rPr>
                <w:rFonts w:ascii="Aptos" w:hAnsi="Aptos"/>
                <w:sz w:val="18"/>
              </w:rPr>
              <w:t>Map and turn validation</w:t>
            </w:r>
          </w:p>
        </w:tc>
        <w:tc>
          <w:tcPr>
            <w:tcW w:type="dxa" w:w="4997"/>
          </w:tcPr>
          <w:p>
            <w:r>
              <w:rPr>
                <w:rFonts w:ascii="Aptos" w:hAnsi="Aptos"/>
                <w:sz w:val="18"/>
              </w:rPr>
              <w:t>Validate map scales, action timing, and the established Movement / Direct Fire / Missile-Interception / Damage / Damage Control sequence.</w:t>
            </w:r>
          </w:p>
        </w:tc>
      </w:tr>
      <w:tr>
        <w:tc>
          <w:tcPr>
            <w:tcW w:type="dxa" w:w="4997"/>
          </w:tcPr>
          <w:p>
            <w:r>
              <w:rPr>
                <w:rFonts w:ascii="Aptos" w:hAnsi="Aptos"/>
                <w:sz w:val="18"/>
              </w:rPr>
              <w:t>Hull TL ladder</w:t>
            </w:r>
          </w:p>
        </w:tc>
        <w:tc>
          <w:tcPr>
            <w:tcW w:type="dxa" w:w="4997"/>
          </w:tcPr>
          <w:p>
            <w:r>
              <w:rPr>
                <w:rFonts w:ascii="Aptos" w:hAnsi="Aptos"/>
                <w:sz w:val="18"/>
              </w:rPr>
              <w:t>Fit starting, middle, and late cruiser configurations and stagger Weapon Bays, support capacity, stores, compartmentation, and shuttle growth without class escalation.</w:t>
            </w:r>
          </w:p>
        </w:tc>
      </w:tr>
      <w:tr>
        <w:tc>
          <w:tcPr>
            <w:tcW w:type="dxa" w:w="4997"/>
          </w:tcPr>
          <w:p>
            <w:r>
              <w:rPr>
                <w:rFonts w:ascii="Aptos" w:hAnsi="Aptos"/>
                <w:sz w:val="18"/>
              </w:rPr>
              <w:t>Technology categories</w:t>
            </w:r>
          </w:p>
        </w:tc>
        <w:tc>
          <w:tcPr>
            <w:tcW w:type="dxa" w:w="4997"/>
          </w:tcPr>
          <w:p>
            <w:r>
              <w:t>Validate the ten broad visible categories, one Propulsion TL with separate FTL/STL component families, and named standard TL 1-9 items without creating an Auxiliary tree.</w:t>
            </w:r>
          </w:p>
        </w:tc>
      </w:tr>
      <w:tr>
        <w:tc>
          <w:tcPr>
            <w:tcW w:type="dxa" w:w="4997"/>
          </w:tcPr>
          <w:p>
            <w:r>
              <w:rPr>
                <w:rFonts w:ascii="Aptos" w:hAnsi="Aptos"/>
                <w:sz w:val="18"/>
              </w:rPr>
              <w:t>Installation prerequisites</w:t>
            </w:r>
          </w:p>
        </w:tc>
        <w:tc>
          <w:tcPr>
            <w:tcW w:type="dxa" w:w="4997"/>
          </w:tcPr>
          <w:p>
            <w:r>
              <w:t>Define data-driven family/item support floors, normally no more than two related categories, adapter costs, capability tags, matched Precursor pairs, Adaptation Strain, workshop versus field jury-rigs, bounded Chief Engineer bridges, and Integrated / Adapted / Incompatible UI.</w:t>
            </w:r>
          </w:p>
        </w:tc>
      </w:tr>
      <w:tr>
        <w:tc>
          <w:tcPr>
            <w:tcW w:type="dxa" w:w="4997"/>
          </w:tcPr>
          <w:p>
            <w:r>
              <w:rPr>
                <w:rFonts w:ascii="Aptos" w:hAnsi="Aptos"/>
                <w:sz w:val="18"/>
              </w:rPr>
              <w:t>Tactical power</w:t>
            </w:r>
          </w:p>
        </w:tc>
        <w:tc>
          <w:tcPr>
            <w:tcW w:type="dxa" w:w="4997"/>
          </w:tcPr>
          <w:p>
            <w:r>
              <w:rPr>
                <w:rFonts w:ascii="Aptos" w:hAnsi="Aptos"/>
                <w:sz w:val="18"/>
              </w:rPr>
              <w:t>Tune reactor capacities, emergency output, shield recharge, PDS, ECM, batteries, energized armor, power priorities, and exceptional all-reserve systems.</w:t>
            </w:r>
          </w:p>
        </w:tc>
      </w:tr>
      <w:tr>
        <w:tc>
          <w:tcPr>
            <w:tcW w:type="dxa" w:w="4997"/>
          </w:tcPr>
          <w:p>
            <w:r>
              <w:rPr>
                <w:rFonts w:ascii="Aptos" w:hAnsi="Aptos"/>
                <w:sz w:val="18"/>
              </w:rPr>
              <w:t>Damage Control</w:t>
            </w:r>
          </w:p>
        </w:tc>
        <w:tc>
          <w:tcPr>
            <w:tcW w:type="dxa" w:w="4997"/>
          </w:tcPr>
          <w:p>
            <w:r>
              <w:rPr>
                <w:rFonts w:ascii="Aptos" w:hAnsi="Aptos"/>
                <w:sz w:val="18"/>
              </w:rPr>
              <w:t>Playtest 70/50/40 repair baselines, assisting-DC bonuses, natural-01/100 effects, supply consumption, Hull repair pace, Chief Engineer mitigation, and field-rebuild exceptions.</w:t>
            </w:r>
          </w:p>
        </w:tc>
      </w:tr>
      <w:tr>
        <w:tc>
          <w:tcPr>
            <w:tcW w:type="dxa" w:w="4997"/>
          </w:tcPr>
          <w:p>
            <w:r>
              <w:rPr>
                <w:rFonts w:ascii="Aptos" w:hAnsi="Aptos"/>
                <w:sz w:val="18"/>
              </w:rPr>
              <w:t>Repair resources</w:t>
            </w:r>
          </w:p>
        </w:tc>
        <w:tc>
          <w:tcPr>
            <w:tcW w:type="dxa" w:w="4997"/>
          </w:tcPr>
          <w:p>
            <w:r>
              <w:rPr>
                <w:rFonts w:ascii="Aptos" w:hAnsi="Aptos"/>
                <w:sz w:val="18"/>
              </w:rPr>
              <w:t>Validate Minerals, Radioactives, Advanced Resources, Salvage, Repair Supplies, specialized materials, and strategic fabrication without creating inventory busywork.</w:t>
            </w:r>
          </w:p>
        </w:tc>
      </w:tr>
      <w:tr>
        <w:tc>
          <w:tcPr>
            <w:tcW w:type="dxa" w:w="4997"/>
          </w:tcPr>
          <w:p>
            <w:r>
              <w:rPr>
                <w:rFonts w:ascii="Aptos" w:hAnsi="Aptos"/>
                <w:sz w:val="18"/>
              </w:rPr>
              <w:t>Weapons and ammunition</w:t>
            </w:r>
          </w:p>
        </w:tc>
        <w:tc>
          <w:tcPr>
            <w:tcW w:type="dxa" w:w="4997"/>
          </w:tcPr>
          <w:p>
            <w:r>
              <w:rPr>
                <w:rFonts w:ascii="Aptos" w:hAnsi="Aptos"/>
                <w:sz w:val="18"/>
              </w:rPr>
              <w:t>Tune Accuracy, Damage, penetration, range, power, Ready Packages, internal magazines, shared magazine families, reload traits, resupply, and volatility.</w:t>
            </w:r>
          </w:p>
        </w:tc>
      </w:tr>
      <w:tr>
        <w:tc>
          <w:tcPr>
            <w:tcW w:type="dxa" w:w="4997"/>
          </w:tcPr>
          <w:p>
            <w:r>
              <w:rPr>
                <w:rFonts w:ascii="Aptos" w:hAnsi="Aptos"/>
                <w:sz w:val="18"/>
              </w:rPr>
              <w:t>Internal damage</w:t>
            </w:r>
          </w:p>
        </w:tc>
        <w:tc>
          <w:tcPr>
            <w:tcW w:type="dxa" w:w="4997"/>
          </w:tcPr>
          <w:p>
            <w:r>
              <w:rPr>
                <w:rFonts w:ascii="Aptos" w:hAnsi="Aptos"/>
                <w:sz w:val="18"/>
              </w:rPr>
              <w:t>Generate and test individualized major systems, support exposure groups, magazine families, marker density, mission-kill frequency, and salvage outcomes across representative hulls.</w:t>
            </w:r>
          </w:p>
        </w:tc>
      </w:tr>
      <w:tr>
        <w:tc>
          <w:tcPr>
            <w:tcW w:type="dxa" w:w="4997"/>
          </w:tcPr>
          <w:p>
            <w:r>
              <w:rPr>
                <w:rFonts w:ascii="Aptos" w:hAnsi="Aptos"/>
                <w:sz w:val="18"/>
              </w:rPr>
              <w:t>Probability and criticals</w:t>
            </w:r>
          </w:p>
        </w:tc>
        <w:tc>
          <w:tcPr>
            <w:tcW w:type="dxa" w:w="4997"/>
          </w:tcPr>
          <w:p>
            <w:r>
              <w:rPr>
                <w:rFonts w:ascii="Aptos" w:hAnsi="Aptos"/>
                <w:sz w:val="18"/>
              </w:rPr>
              <w:t>Tune component-TL bounds, modifier scales, combat critical effects, and whether repair natural 100 may jump one additional component state.</w:t>
            </w:r>
          </w:p>
        </w:tc>
      </w:tr>
      <w:tr>
        <w:tc>
          <w:tcPr>
            <w:tcW w:type="dxa" w:w="4997"/>
          </w:tcPr>
          <w:p>
            <w:r>
              <w:rPr>
                <w:rFonts w:ascii="Aptos" w:hAnsi="Aptos"/>
                <w:sz w:val="18"/>
              </w:rPr>
              <w:t>Missile terminal balance</w:t>
            </w:r>
          </w:p>
        </w:tc>
        <w:tc>
          <w:tcPr>
            <w:tcW w:type="dxa" w:w="4997"/>
          </w:tcPr>
          <w:p>
            <w:r>
              <w:rPr>
                <w:rFonts w:ascii="Aptos" w:hAnsi="Aptos"/>
                <w:sz w:val="18"/>
              </w:rPr>
              <w:t>Tune Guidance Computer bounds, seeker acquisition/ECCM/accuracy values, target terminal ECM, search endurance, PDS reaction capacity, and future peer-guidance eligibility using representative Missile Flights.</w:t>
            </w:r>
          </w:p>
        </w:tc>
      </w:tr>
      <w:tr>
        <w:tc>
          <w:tcPr>
            <w:tcW w:type="dxa" w:w="4997"/>
          </w:tcPr>
          <w:p>
            <w:r>
              <w:rPr>
                <w:rFonts w:ascii="Aptos" w:hAnsi="Aptos"/>
                <w:sz w:val="18"/>
              </w:rPr>
              <w:t>Shuttles, boarding, and capture</w:t>
            </w:r>
          </w:p>
        </w:tc>
        <w:tc>
          <w:tcPr>
            <w:tcW w:type="dxa" w:w="4997"/>
          </w:tcPr>
          <w:p>
            <w:r>
              <w:rPr>
                <w:rFonts w:ascii="Aptos" w:hAnsi="Aptos"/>
                <w:sz w:val="18"/>
              </w:rPr>
              <w:t>Define small-craft damage, docking, boarding resistance, suppression, capture, surrender, shuttle losses, replacement, and second-berth progression.</w:t>
            </w:r>
          </w:p>
        </w:tc>
      </w:tr>
      <w:tr>
        <w:tc>
          <w:tcPr>
            <w:tcW w:type="dxa" w:w="4997"/>
          </w:tcPr>
          <w:p>
            <w:r>
              <w:rPr>
                <w:rFonts w:ascii="Aptos" w:hAnsi="Aptos"/>
                <w:sz w:val="18"/>
              </w:rPr>
              <w:t>Narrative generation</w:t>
            </w:r>
          </w:p>
        </w:tc>
        <w:tc>
          <w:tcPr>
            <w:tcW w:type="dxa" w:w="4997"/>
          </w:tcPr>
          <w:p>
            <w:r>
              <w:rPr>
                <w:rFonts w:ascii="Aptos" w:hAnsi="Aptos"/>
                <w:sz w:val="18"/>
              </w:rPr>
              <w:t>Define dialogue, roleplaying decisions, crew/alien relationships, procedural events, artifact dilemmas, first-ship outcomes, and a coherent run-history presentation.</w:t>
            </w:r>
          </w:p>
        </w:tc>
      </w:tr>
      <w:tr>
        <w:tc>
          <w:tcPr>
            <w:tcW w:type="dxa" w:w="4997"/>
          </w:tcPr>
          <w:p>
            <w:r>
              <w:rPr>
                <w:rFonts w:ascii="Aptos" w:hAnsi="Aptos"/>
                <w:sz w:val="18"/>
              </w:rPr>
              <w:t>Enemy and campaign</w:t>
            </w:r>
          </w:p>
        </w:tc>
        <w:tc>
          <w:tcPr>
            <w:tcW w:type="dxa" w:w="4997"/>
          </w:tcPr>
          <w:p>
            <w:r>
              <w:rPr>
                <w:rFonts w:ascii="Aptos" w:hAnsi="Aptos"/>
                <w:sz w:val="18"/>
              </w:rPr>
              <w:t>Finalize factions, awareness, production, patrols, adaptation, home loss, final dreadnought or alternate boss forms, victory, and meta-progression.</w:t>
            </w:r>
          </w:p>
        </w:tc>
      </w:tr>
      <w:tr>
        <w:tc>
          <w:tcPr>
            <w:tcW w:type="dxa" w:w="4997"/>
          </w:tcPr>
          <w:p>
            <w:r>
              <w:rPr>
                <w:rFonts w:ascii="Aptos" w:hAnsi="Aptos"/>
                <w:sz w:val="18"/>
              </w:rPr>
              <w:t>Save philosophy and setting</w:t>
            </w:r>
          </w:p>
        </w:tc>
        <w:tc>
          <w:tcPr>
            <w:tcW w:type="dxa" w:w="4997"/>
          </w:tcPr>
          <w:p>
            <w:r>
              <w:rPr>
                <w:rFonts w:ascii="Aptos" w:hAnsi="Aptos"/>
                <w:sz w:val="18"/>
              </w:rPr>
              <w:t>Choose permadeath resume behavior and final species, names, terminology, and tone.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is the accepted mechanical baseline. Checkpoint 23 establishes the game-wide player technology, naming, compatibility, adaptation, and reference-mining foundation without changing combat mechanics or promoting numerical TL values. Next define foundational Hull, Armor, Shield, Power, FTL, and STL fields and TL 1/3/5/7/9 anchors; then decompose Missile Flight subsystems in a controlled sensitivity pass with a locked legacy-parity lane.</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Godot 4.7.1 .NET with C# / .NET 8 for the initial prototype, with Visual Studio 2022 as the primary code IDE.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controls one persistent ship; no player empire or fleet management.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cluster map that zooms into a system-level tactical map.</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Campaigns are procedurally generated, seeded, and use permadeath.</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principal enemy empire exists in every campaign.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ship’s true fate and the required endgame action may vary by run.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Technology uses TL 1–9; TL 0 means absent or none.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Victory does not require maximizing all technology disciplines.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D-009</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Show installed Item TL and relevant Research TL together.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Allow installation of higher-TL alien items with visible repair/integration penalties.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Crew are an abstract resource with threshold-based penalties.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Shuttle actions support survey, extraction, trade, rescue, and planetary interaction.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both time pressure and enemy awareness.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No player-founded colonies in the core game.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Use soft projectile/armor, energy/shield, and missile/interception relationships. The consolidated combat architecture now defines the resolution framework; exact component-family statistics remain data-driven and deferred to balance passes.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 / framework defined</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axial hex geometry for both strategic and system maps; map radius remains configurable.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Keep authoritative simulation rules in StarCluster.Core, automated tests in StarCluster.Tests, and Godot-specific presentation in StarCluster.Game.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before="0" w:after="0" w:line="252" w:lineRule="auto"/>
            </w:pPr>
            <w:r>
              <w:t>Superseded by D-044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D-123 and D-124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main direct-fire weapon may fire offensively or be held for missile interception, but normally cannot do both in one tactical turn unless an explicit capability grants another firing cycle.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Each installed direct-fire battery normally supplies one independent attack package per tactical turn. Additional bays therefore add attacks, specialization, and redundancy; fixed bay order controls their coordinated resolution.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D-119 and D-121</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Deferred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likely radius-8, 17-across strategic starmap for the campaign, while retaining configurable map size.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numeric value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TL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edge-case rule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D-040</w:t>
            </w:r>
          </w:p>
        </w:tc>
        <w:tc>
          <w:tcPr>
            <w:tcW w:type="dxa" w:w="6192"/>
            <w:vAlign w:val="center"/>
            <w:tcMar>
              <w:top w:w="110" w:type="dxa"/>
              <w:start w:w="120" w:type="dxa"/>
              <w:bottom w:w="110" w:type="dxa"/>
              <w:end w:w="120" w:type="dxa"/>
            </w:tcMar>
          </w:tcPr>
          <w:p>
            <w:pPr>
              <w:spacing w:before="0" w:after="0" w:line="252" w:lineRule="auto"/>
            </w:pPr>
            <w:r>
              <w:t>Represent every missile salvo with an explicit owning side, launcher, intended target, launch coordinate, flight profile, cumulative travel history, and terminal state; allow multiple friendly and hostile salvos to coexist.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D-041</w:t>
            </w:r>
          </w:p>
        </w:tc>
        <w:tc>
          <w:tcPr>
            <w:tcW w:type="dxa" w:w="6192"/>
            <w:vAlign w:val="center"/>
            <w:tcMar>
              <w:top w:w="110" w:type="dxa"/>
              <w:start w:w="120" w:type="dxa"/>
              <w:bottom w:w="110" w:type="dxa"/>
              <w:end w:w="120" w:type="dxa"/>
            </w:tcMar>
          </w:tcPr>
          <w:p>
            <w:pPr>
              <w:spacing w:before="0" w:after="0" w:line="252" w:lineRule="auto"/>
            </w:pPr>
            <w:r>
              <w:t>Resolve missile movement one entered hex at a time for interception checks, including a final eligible defensive opportunity before impact.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D-042</w:t>
            </w:r>
          </w:p>
        </w:tc>
        <w:tc>
          <w:tcPr>
            <w:tcW w:type="dxa" w:w="6192"/>
            <w:vAlign w:val="center"/>
            <w:tcMar>
              <w:top w:w="110" w:type="dxa"/>
              <w:start w:w="120" w:type="dxa"/>
              <w:bottom w:w="110" w:type="dxa"/>
              <w:end w:w="120" w:type="dxa"/>
            </w:tcMar>
          </w:tcPr>
          <w:p>
            <w: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1872"/>
            <w:vAlign w:val="center"/>
            <w:tcMar>
              <w:top w:w="110" w:type="dxa"/>
              <w:start w:w="120" w:type="dxa"/>
              <w:bottom w:w="110" w:type="dxa"/>
              <w:end w:w="120" w:type="dxa"/>
            </w:tcMar>
          </w:tcPr>
          <w:p>
            <w:r>
              <w:t>Superseded in part by D-132 and D-133</w:t>
            </w:r>
          </w:p>
        </w:tc>
      </w:tr>
      <w:tr>
        <w:trPr/>
        <w:tc>
          <w:tcPr>
            <w:tcW w:type="dxa" w:w="1152"/>
            <w:vAlign w:val="center"/>
            <w:tcMar>
              <w:top w:w="110" w:type="dxa"/>
              <w:start w:w="120" w:type="dxa"/>
              <w:bottom w:w="110" w:type="dxa"/>
              <w:end w:w="120" w:type="dxa"/>
            </w:tcMar>
          </w:tcPr>
          <w:p>
            <w:pPr>
              <w:spacing w:before="0" w:after="0" w:line="252" w:lineRule="auto"/>
              <w:jc w:val="left"/>
            </w:pPr>
            <w:r>
              <w:rPr>
                <w:b/>
              </w:rPr>
              <w:t>D-043</w:t>
            </w:r>
          </w:p>
        </w:tc>
        <w:tc>
          <w:tcPr>
            <w:tcW w:type="dxa" w:w="6192"/>
            <w:vAlign w:val="center"/>
            <w:tcMar>
              <w:top w:w="110" w:type="dxa"/>
              <w:start w:w="120" w:type="dxa"/>
              <w:bottom w:w="110" w:type="dxa"/>
              <w:end w:w="120" w:type="dxa"/>
            </w:tcMar>
          </w:tcPr>
          <w:p>
            <w:pPr>
              <w:spacing w:before="0" w:after="0" w:line="252" w:lineRule="auto"/>
            </w:pPr>
            <w:r>
              <w:t>Present friendly missiles in green and hostile missiles in red, reinforced by non-color symbols and explicit launcher/target labels; color is never the sole ownership cue.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D-044</w:t>
            </w:r>
          </w:p>
        </w:tc>
        <w:tc>
          <w:tcPr>
            <w:tcW w:type="dxa" w:w="6192"/>
            <w:vAlign w:val="center"/>
            <w:tcMar>
              <w:top w:w="110" w:type="dxa"/>
              <w:start w:w="120" w:type="dxa"/>
              <w:bottom w:w="110" w:type="dxa"/>
              <w:end w:w="120" w:type="dxa"/>
            </w:tcMar>
          </w:tcPr>
          <w:p>
            <w:pPr>
              <w:spacing w:before="0" w:after="0" w:line="252" w:lineRule="auto"/>
            </w:pPr>
            <w:r>
              <w:t>Order repeatable tactical phases as Movement, Direct Fire, Missile / Interception, Damage, and Damage Control so weapon commitments are established before missile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D-045</w:t>
            </w:r>
          </w:p>
        </w:tc>
        <w:tc>
          <w:tcPr>
            <w:tcW w:type="dxa" w:w="6192"/>
            <w:vAlign w:val="center"/>
            <w:tcMar>
              <w:top w:w="110" w:type="dxa"/>
              <w:start w:w="120" w:type="dxa"/>
              <w:bottom w:w="110" w:type="dxa"/>
              <w:end w:w="120" w:type="dxa"/>
            </w:tcMar>
          </w:tcPr>
          <w:p>
            <w:pPr>
              <w:spacing w:before="0" w:after="0" w:line="252" w:lineRule="auto"/>
            </w:pPr>
            <w:r>
              <w:t>Require each main direct-fire weapon to make one mutually exclusive turn commitment: attack a tactical target, intercept one selected hostile missile, hold for any eligible hostile missile, or hold fire.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D-046</w:t>
            </w:r>
          </w:p>
        </w:tc>
        <w:tc>
          <w:tcPr>
            <w:tcW w:type="dxa" w:w="6192"/>
            <w:vAlign w:val="center"/>
            <w:tcMar>
              <w:top w:w="110" w:type="dxa"/>
              <w:start w:w="120" w:type="dxa"/>
              <w:bottom w:w="110" w:type="dxa"/>
              <w:end w:w="120" w:type="dxa"/>
            </w:tcMar>
          </w:tcPr>
          <w:p>
            <w:pPr>
              <w:spacing w:before="0" w:after="0" w:line="252" w:lineRule="auto"/>
            </w:pPr>
            <w:r>
              <w:t>Permit a selected-missile interception order to resolve immediately when already eligible or remain suspended until that same salvo enters range and line of sight during the upcoming missile phase.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D-047</w:t>
            </w:r>
          </w:p>
        </w:tc>
        <w:tc>
          <w:tcPr>
            <w:tcW w:type="dxa" w:w="6192"/>
            <w:vAlign w:val="center"/>
            <w:tcMar>
              <w:top w:w="110" w:type="dxa"/>
              <w:start w:w="120" w:type="dxa"/>
              <w:bottom w:w="110" w:type="dxa"/>
              <w:end w:w="120" w:type="dxa"/>
            </w:tcMar>
          </w:tcPr>
          <w:p>
            <w:pPr>
              <w:spacing w:before="0" w:after="0" w:line="252" w:lineRule="auto"/>
            </w:pPr>
            <w:r>
              <w:t>Permit a hold-for-any order to react to the first eligible hostile salvo, including a missile launched later in the same turn; an unused held order expires after the missile phase and still spends the weapon action.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D-048</w:t>
            </w:r>
          </w:p>
        </w:tc>
        <w:tc>
          <w:tcPr>
            <w:tcW w:type="dxa" w:w="6192"/>
            <w:vAlign w:val="center"/>
            <w:tcMar>
              <w:top w:w="110" w:type="dxa"/>
              <w:start w:w="120" w:type="dxa"/>
              <w:bottom w:w="110" w:type="dxa"/>
              <w:end w:w="120" w:type="dxa"/>
            </w:tcMar>
          </w:tcPr>
          <w:p>
            <w: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1872"/>
            <w:vAlign w:val="center"/>
            <w:tcMar>
              <w:top w:w="110" w:type="dxa"/>
              <w:start w:w="120" w:type="dxa"/>
              <w:bottom w:w="110" w:type="dxa"/>
              <w:end w:w="120" w:type="dxa"/>
            </w:tcMar>
          </w:tcPr>
          <w:p>
            <w:r>
              <w:t>Superseded in part by D-132 through D-134</w:t>
            </w:r>
          </w:p>
        </w:tc>
      </w:tr>
      <w:tr>
        <w:trPr/>
        <w:tc>
          <w:tcPr>
            <w:tcW w:type="dxa" w:w="1152"/>
            <w:vAlign w:val="center"/>
            <w:tcMar>
              <w:top w:w="110" w:type="dxa"/>
              <w:start w:w="120" w:type="dxa"/>
              <w:bottom w:w="110" w:type="dxa"/>
              <w:end w:w="120" w:type="dxa"/>
            </w:tcMar>
          </w:tcPr>
          <w:p>
            <w:pPr>
              <w:spacing w:before="0" w:after="0" w:line="252" w:lineRule="auto"/>
              <w:jc w:val="left"/>
            </w:pPr>
            <w:r>
              <w:rPr>
                <w:b/>
              </w:rPr>
              <w:t>D-049</w:t>
            </w:r>
          </w:p>
        </w:tc>
        <w:tc>
          <w:tcPr>
            <w:tcW w:type="dxa" w:w="6192"/>
            <w:vAlign w:val="center"/>
            <w:tcMar>
              <w:top w:w="110" w:type="dxa"/>
              <w:start w:w="120" w:type="dxa"/>
              <w:bottom w:w="110" w:type="dxa"/>
              <w:end w:w="120" w:type="dxa"/>
            </w:tcMar>
          </w:tcPr>
          <w:p>
            <w:pPr>
              <w:spacing w:before="0" w:after="0" w:line="252" w:lineRule="auto"/>
            </w:pPr>
            <w:r>
              <w:t>Treat every star as pre-known navigation data on both the strategic star map and the local system map; visible stellar positions do not require tactical discovery.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D-050</w:t>
            </w:r>
          </w:p>
        </w:tc>
        <w:tc>
          <w:tcPr>
            <w:tcW w:type="dxa" w:w="6192"/>
            <w:vAlign w:val="center"/>
            <w:tcMar>
              <w:top w:w="110" w:type="dxa"/>
              <w:start w:w="120" w:type="dxa"/>
              <w:bottom w:w="110" w:type="dxa"/>
              <w:end w:w="120" w:type="dxa"/>
            </w:tcMar>
          </w:tcPr>
          <w:p>
            <w:pPr>
              <w:spacing w:before="0" w:after="0" w:line="252" w:lineRule="auto"/>
            </w:pPr>
            <w:r>
              <w:t>Perform an initial observer-specific Track Update before the system map is first presented, and use the same initialization pipeline on scenario reset so authoritative contacts never flash into view.</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D-051</w:t>
            </w:r>
          </w:p>
        </w:tc>
        <w:tc>
          <w:tcPr>
            <w:tcW w:type="dxa" w:w="6192"/>
            <w:vAlign w:val="center"/>
            <w:tcMar>
              <w:top w:w="110" w:type="dxa"/>
              <w:start w:w="120" w:type="dxa"/>
              <w:bottom w:w="110" w:type="dxa"/>
              <w:end w:w="120" w:type="dxa"/>
            </w:tcMar>
          </w:tcPr>
          <w:p>
            <w:pPr>
              <w:spacing w:before="0" w:after="0" w:line="252" w:lineRule="auto"/>
            </w:pPr>
            <w:r>
              <w:t>Build the player-visible tactical map from navigation knowledge, prior intelligence, and observer-specific tracks rather than directly from authoritative map occupancy.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D-052</w:t>
            </w:r>
          </w:p>
        </w:tc>
        <w:tc>
          <w:tcPr>
            <w:tcW w:type="dxa" w:w="6192"/>
            <w:vAlign w:val="center"/>
            <w:tcMar>
              <w:top w:w="110" w:type="dxa"/>
              <w:start w:w="120" w:type="dxa"/>
              <w:bottom w:w="110" w:type="dxa"/>
              <w:end w:w="120" w:type="dxa"/>
            </w:tcMar>
          </w:tcPr>
          <w:p>
            <w:pPr>
              <w:spacing w:before="0" w:after="0" w:line="252" w:lineRule="auto"/>
            </w:pPr>
            <w:r>
              <w:t>Represent contact knowledge as Firm, Approximate, Stale, or Lost track records, while complete absence of a record means Unknown and reveals nothing about the contact’s existence.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D-053</w:t>
            </w:r>
          </w:p>
        </w:tc>
        <w:tc>
          <w:tcPr>
            <w:tcW w:type="dxa" w:w="6192"/>
            <w:vAlign w:val="center"/>
            <w:tcMar>
              <w:top w:w="110" w:type="dxa"/>
              <w:start w:w="120" w:type="dxa"/>
              <w:bottom w:w="110" w:type="dxa"/>
              <w:end w:w="120" w:type="dxa"/>
            </w:tcMar>
          </w:tcPr>
          <w:p>
            <w:pPr>
              <w:spacing w:before="0" w:after="0" w:line="252" w:lineRule="auto"/>
            </w:pPr>
            <w:r>
              <w:t>Run Track Update as an event-driven refresh after each committed ship movement and other relevant state changes; refreshed information does not reopen an already completed movement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D-054</w:t>
            </w:r>
          </w:p>
        </w:tc>
        <w:tc>
          <w:tcPr>
            <w:tcW w:type="dxa" w:w="6192"/>
            <w:vAlign w:val="center"/>
            <w:tcMar>
              <w:top w:w="110" w:type="dxa"/>
              <w:start w:w="120" w:type="dxa"/>
              <w:bottom w:w="110" w:type="dxa"/>
              <w:end w:w="120" w:type="dxa"/>
            </w:tcMar>
          </w:tcPr>
          <w:p>
            <w:pPr>
              <w:spacing w:before="0" w:after="0" w:line="252" w:lineRule="auto"/>
            </w:pPr>
            <w:r>
              <w:t>Require a Firm track for normal precision direct fire; allow Approximate and Stale tracks to support awareness and missile pursuit, while Lost guidance waits without spending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D-055</w:t>
            </w:r>
          </w:p>
        </w:tc>
        <w:tc>
          <w:tcPr>
            <w:tcW w:type="dxa" w:w="6192"/>
            <w:vAlign w:val="center"/>
            <w:tcMar>
              <w:top w:w="110" w:type="dxa"/>
              <w:start w:w="120" w:type="dxa"/>
              <w:bottom w:w="110" w:type="dxa"/>
              <w:end w:w="120" w:type="dxa"/>
            </w:tcMar>
          </w:tcPr>
          <w:p>
            <w:pPr>
              <w:spacing w:before="0" w:after="0" w:line="252" w:lineRule="auto"/>
            </w:pPr>
            <w:r>
              <w:t>Require a held main weapon to have a Firm tactical missile track when it fires, while an installed Point Defense System may use independent short-range local acquisition.</w:t>
            </w:r>
          </w:p>
        </w:tc>
        <w:tc>
          <w:tcPr>
            <w:tcW w:type="dxa" w:w="1872"/>
            <w:vAlign w:val="center"/>
            <w:tcMar>
              <w:top w:w="110" w:type="dxa"/>
              <w:start w:w="120" w:type="dxa"/>
              <w:bottom w:w="110" w:type="dxa"/>
              <w:end w:w="120" w:type="dxa"/>
            </w:tcMar>
          </w:tcPr>
          <w:p>
            <w:pPr>
              <w:spacing w:before="0" w:after="0" w:line="252" w:lineRule="auto"/>
            </w:pPr>
            <w:r>
              <w:t>Current direction / exact acquisition values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D-056</w:t>
            </w:r>
          </w:p>
        </w:tc>
        <w:tc>
          <w:tcPr>
            <w:tcW w:type="dxa" w:w="6192"/>
            <w:vAlign w:val="center"/>
            <w:tcMar>
              <w:top w:w="110" w:type="dxa"/>
              <w:start w:w="120" w:type="dxa"/>
              <w:bottom w:w="110" w:type="dxa"/>
              <w:end w:w="120" w:type="dxa"/>
            </w:tcMar>
          </w:tcPr>
          <w:p>
            <w:pPr>
              <w:spacing w:before="0" w:after="0" w:line="252" w:lineRule="auto"/>
            </w:pPr>
            <w:r>
              <w:t>Distinguish a missile’s last executed route from a non-mutating projected next route; projection may refresh after movement but never advances the missile or consumes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D-057</w:t>
            </w:r>
          </w:p>
        </w:tc>
        <w:tc>
          <w:tcPr>
            <w:tcW w:type="dxa" w:w="6192"/>
            <w:vAlign w:val="center"/>
            <w:tcMar>
              <w:top w:w="110" w:type="dxa"/>
              <w:start w:w="120" w:type="dxa"/>
              <w:bottom w:w="110" w:type="dxa"/>
              <w:end w:w="120" w:type="dxa"/>
            </w:tcMar>
          </w:tcPr>
          <w:p>
            <w:pPr>
              <w:spacing w:before="0" w:after="0" w:line="252" w:lineRule="auto"/>
            </w:pPr>
            <w:r>
              <w:t>Automatically create an authoritative diagnostic event journal for every prototype encounter; no user action is required to enable or export it.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D-058</w:t>
            </w:r>
          </w:p>
        </w:tc>
        <w:tc>
          <w:tcPr>
            <w:tcW w:type="dxa" w:w="6192"/>
            <w:vAlign w:val="center"/>
            <w:tcMar>
              <w:top w:w="110" w:type="dxa"/>
              <w:start w:w="120" w:type="dxa"/>
              <w:bottom w:w="110" w:type="dxa"/>
              <w:end w:w="120" w:type="dxa"/>
            </w:tcMar>
          </w:tcPr>
          <w:p>
            <w:pPr>
              <w:spacing w:before="0" w:after="0" w:line="252" w:lineRule="auto"/>
            </w:pPr>
            <w:r>
              <w:t>Write synchronized JSON Lines and readable text logs whose filenames include the checkpoint identifier, UTC start timestamp, and encounter sequence; flush every event incrementally and never overwrite a prior encounter on reset.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D-059</w:t>
            </w:r>
          </w:p>
        </w:tc>
        <w:tc>
          <w:tcPr>
            <w:tcW w:type="dxa" w:w="6192"/>
            <w:vAlign w:val="center"/>
            <w:tcMar>
              <w:top w:w="110" w:type="dxa"/>
              <w:start w:w="120" w:type="dxa"/>
              <w:bottom w:w="110" w:type="dxa"/>
              <w:end w:w="120" w:type="dxa"/>
            </w:tcMar>
          </w:tcPr>
          <w:p>
            <w:pPr>
              <w:spacing w:before="0" w:after="0" w:line="252" w:lineRule="auto"/>
            </w:pPr>
            <w:r>
              <w:t>Keep diagnostic event data and formatting engine-independent while leaving file persistence in the Godot host, preserving the one-way StarCluster.Game → StarCluster.Core architecture.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D-060</w:t>
            </w:r>
          </w:p>
        </w:tc>
        <w:tc>
          <w:tcPr>
            <w:tcW w:type="dxa" w:w="6192"/>
            <w:vAlign w:val="center"/>
            <w:tcMar>
              <w:top w:w="110" w:type="dxa"/>
              <w:start w:w="120" w:type="dxa"/>
              <w:bottom w:w="110" w:type="dxa"/>
              <w:end w:w="120" w:type="dxa"/>
            </w:tcMar>
          </w:tcPr>
          <w:p>
            <w:pPr>
              <w:spacing w:before="0" w:after="0" w:line="252" w:lineRule="auto"/>
            </w:pPr>
            <w:r>
              <w:t>Keep the authoritative development journal distinct from the future player-visible combat log; player presentation and visible missile trails must remain observer-safe even when the diagnostic journal contains hidden truth.</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D-061</w:t>
            </w:r>
          </w:p>
        </w:tc>
        <w:tc>
          <w:tcPr>
            <w:tcW w:type="dxa" w:w="6192"/>
            <w:vAlign w:val="center"/>
            <w:tcMar>
              <w:top w:w="110" w:type="dxa"/>
              <w:start w:w="120" w:type="dxa"/>
              <w:bottom w:w="110" w:type="dxa"/>
              <w:end w:w="120" w:type="dxa"/>
            </w:tcMar>
          </w:tcPr>
          <w:p>
            <w:pPr>
              <w:spacing w:before="0" w:after="0" w:line="252" w:lineRule="auto"/>
            </w:pPr>
            <w:r>
              <w:t>Reevaluate observer-target visibility after every relevant event, but advance missed-track age and uncertainty at most once per tactical turn for each observer-target pair; successful observation resets age immediately.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D-062</w:t>
            </w:r>
          </w:p>
        </w:tc>
        <w:tc>
          <w:tcPr>
            <w:tcW w:type="dxa" w:w="6192"/>
            <w:vAlign w:val="center"/>
            <w:tcMar>
              <w:top w:w="110" w:type="dxa"/>
              <w:start w:w="120" w:type="dxa"/>
              <w:bottom w:w="110" w:type="dxa"/>
              <w:end w:w="120" w:type="dxa"/>
            </w:tcMar>
          </w:tcPr>
          <w:p>
            <w:pPr>
              <w:spacing w:before="0" w:after="0" w:line="252" w:lineRule="auto"/>
            </w:pPr>
            <w:r>
              <w:t>Permit distinct missile salvos to share a hex. Present observer-visible collocated salvos with ownership-coded count markers and individual cycling/inspection without merging authoritative identities.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D-063</w:t>
            </w:r>
          </w:p>
        </w:tc>
        <w:tc>
          <w:tcPr>
            <w:tcW w:type="dxa" w:w="6192"/>
            <w:vAlign w:val="center"/>
            <w:tcMar>
              <w:top w:w="110" w:type="dxa"/>
              <w:start w:w="120" w:type="dxa"/>
              <w:bottom w:w="110" w:type="dxa"/>
              <w:end w:w="120" w:type="dxa"/>
            </w:tcMar>
          </w:tcPr>
          <w:p>
            <w:pPr>
              <w:spacing w:before="0" w:after="0" w:line="252" w:lineRule="auto"/>
            </w:pPr>
            <w:r>
              <w:t>Provide immediate player-visible interception feedback identifying the firing layer, target salvo, and outcome, and display installed Point Defense System readiness, range, automatic local acquisition, and remaining attempt budget.</w:t>
            </w:r>
          </w:p>
        </w:tc>
        <w:tc>
          <w:tcPr>
            <w:tcW w:type="dxa" w:w="1872"/>
            <w:vAlign w:val="center"/>
            <w:tcMar>
              <w:top w:w="110" w:type="dxa"/>
              <w:start w:w="120" w:type="dxa"/>
              <w:bottom w:w="110" w:type="dxa"/>
              <w:end w:w="120" w:type="dxa"/>
            </w:tcMar>
          </w:tcPr>
          <w:p>
            <w:pPr>
              <w:spacing w:before="0" w:after="0" w:line="252" w:lineRule="auto"/>
            </w:pPr>
            <w:r>
              <w:t>Current prototype direction / final presentation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D-064</w:t>
            </w:r>
          </w:p>
        </w:tc>
        <w:tc>
          <w:tcPr>
            <w:tcW w:type="dxa" w:w="6192"/>
            <w:vAlign w:val="center"/>
            <w:tcMar>
              <w:top w:w="110" w:type="dxa"/>
              <w:start w:w="120" w:type="dxa"/>
              <w:bottom w:w="110" w:type="dxa"/>
              <w:end w:w="120" w:type="dxa"/>
            </w:tcMar>
          </w:tcPr>
          <w:p>
            <w:pPr>
              <w:spacing w:before="0" w:after="0" w:line="252" w:lineRule="auto"/>
            </w:pPr>
            <w:r>
              <w:t>Keep phase controls and required tactical action buttons fixed above a separately scrollable diagnostic and inspection region so development telemetry never obstructs command access.</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D-065</w:t>
            </w:r>
          </w:p>
        </w:tc>
        <w:tc>
          <w:tcPr>
            <w:tcW w:type="dxa" w:w="6192"/>
            <w:vAlign w:val="center"/>
            <w:tcMar>
              <w:top w:w="110" w:type="dxa"/>
              <w:start w:w="120" w:type="dxa"/>
              <w:bottom w:w="110" w:type="dxa"/>
              <w:end w:w="120" w:type="dxa"/>
            </w:tcMar>
          </w:tcPr>
          <w:p>
            <w:pPr>
              <w:spacing w:before="0" w:after="0" w:line="252" w:lineRule="auto"/>
            </w:pPr>
            <w:r>
              <w:t>Record missile actions in causal diagnostic order with planned route, actual movement path, transient acquisition, interception attempts, final status, explicit wait reason, and observer-visible stack-change events.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D-066</w:t>
            </w:r>
          </w:p>
        </w:tc>
        <w:tc>
          <w:tcPr>
            <w:tcW w:type="dxa" w:w="6192"/>
            <w:vAlign w:val="center"/>
            <w:tcMar>
              <w:top w:w="110" w:type="dxa"/>
              <w:start w:w="120" w:type="dxa"/>
              <w:bottom w:w="110" w:type="dxa"/>
              <w:end w:w="120" w:type="dxa"/>
            </w:tcMar>
          </w:tcPr>
          <w:p>
            <w:pPr>
              <w:spacing w:before="0" w:after="0" w:line="252" w:lineRule="auto"/>
            </w:pPr>
            <w:r>
              <w:t>Normal tactical presentation must consume an observer-safe missile-view snapshot. Unknown contacts are absent from markers, routes, tooltips, stack counts, and selection; hidden or removed selections normalize to none.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D-067</w:t>
            </w:r>
          </w:p>
        </w:tc>
        <w:tc>
          <w:tcPr>
            <w:tcW w:type="dxa" w:w="6192"/>
            <w:vAlign w:val="center"/>
            <w:tcMar>
              <w:top w:w="110" w:type="dxa"/>
              <w:start w:w="120" w:type="dxa"/>
              <w:bottom w:w="110" w:type="dxa"/>
              <w:end w:w="120" w:type="dxa"/>
            </w:tcMar>
          </w:tcPr>
          <w:p>
            <w:pPr>
              <w:spacing w:before="0" w:after="0" w:line="252" w:lineRule="auto"/>
            </w:pPr>
            <w:r>
              <w:t>Show exact hostile missile route geometry only for a Firm missile track. Approximate and Stale hostile contacts do not expose the enemy missile’s hidden guidance or an exact route to the player’s new position.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D-068</w:t>
            </w:r>
          </w:p>
        </w:tc>
        <w:tc>
          <w:tcPr>
            <w:tcW w:type="dxa" w:w="6192"/>
            <w:vAlign w:val="center"/>
            <w:tcMar>
              <w:top w:w="110" w:type="dxa"/>
              <w:start w:w="120" w:type="dxa"/>
              <w:bottom w:w="110" w:type="dxa"/>
              <w:end w:w="120" w:type="dxa"/>
            </w:tcMar>
          </w:tcPr>
          <w:p>
            <w:pPr>
              <w:spacing w:before="0" w:after="0" w:line="252" w:lineRule="auto"/>
            </w:pPr>
            <w:r>
              <w:t>Build hostile observed trails from epoch-stamped confirmed coordinates and split the trail across missed observation epochs so reacquisition never bridges hidden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D-069</w:t>
            </w:r>
          </w:p>
        </w:tc>
        <w:tc>
          <w:tcPr>
            <w:tcW w:type="dxa" w:w="6192"/>
            <w:vAlign w:val="center"/>
            <w:tcMar>
              <w:top w:w="110" w:type="dxa"/>
              <w:start w:w="120" w:type="dxa"/>
              <w:bottom w:w="110" w:type="dxa"/>
              <w:end w:w="120" w:type="dxa"/>
            </w:tcMar>
          </w:tcPr>
          <w:p>
            <w:pPr>
              <w:spacing w:before="0" w:after="0" w:line="252" w:lineRule="auto"/>
            </w:pPr>
            <w:r>
              <w:t>Treat missile-batch presentation refresh as one required post-resolution step: refresh tracks, rebuild observer-safe contacts and stacks, normalize selection, add impact/interception cues, and report an observer-safe summary.</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D-070</w:t>
            </w:r>
          </w:p>
        </w:tc>
        <w:tc>
          <w:tcPr>
            <w:tcW w:type="dxa" w:w="6192"/>
            <w:vAlign w:val="center"/>
            <w:tcMar>
              <w:top w:w="110" w:type="dxa"/>
              <w:start w:w="120" w:type="dxa"/>
              <w:bottom w:w="110" w:type="dxa"/>
              <w:end w:w="120" w:type="dxa"/>
            </w:tcMar>
          </w:tcPr>
          <w:p>
            <w:pPr>
              <w:spacing w:before="0" w:after="0" w:line="252" w:lineRule="auto"/>
            </w:pPr>
            <w:r>
              <w:t>Use one documented baseline tactical encounter and checkpoint-stamped automatic journals for repeatable tactical regression validation until the foundation stabilizes.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D-071</w:t>
            </w:r>
          </w:p>
        </w:tc>
        <w:tc>
          <w:tcPr>
            <w:tcW w:type="dxa" w:w="6192"/>
            <w:vAlign w:val="center"/>
            <w:tcMar>
              <w:top w:w="110" w:type="dxa"/>
              <w:start w:w="120" w:type="dxa"/>
              <w:bottom w:w="110" w:type="dxa"/>
              <w:end w:w="120" w:type="dxa"/>
            </w:tcMar>
          </w:tcPr>
          <w:p>
            <w:pPr>
              <w:spacing w:before="0" w:after="0" w:line="252" w:lineRule="auto"/>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D-072</w:t>
            </w:r>
          </w:p>
        </w:tc>
        <w:tc>
          <w:tcPr>
            <w:tcW w:type="dxa" w:w="6192"/>
            <w:vAlign w:val="center"/>
            <w:tcMar>
              <w:top w:w="110" w:type="dxa"/>
              <w:start w:w="120" w:type="dxa"/>
              <w:bottom w:w="110" w:type="dxa"/>
              <w:end w:w="120" w:type="dxa"/>
            </w:tcMar>
          </w:tcPr>
          <w:p>
            <w:pPr>
              <w:spacing w:before="0" w:after="0" w:line="252" w:lineRule="auto"/>
            </w:pPr>
            <w:r>
              <w:t>Evaluate hostile missile observation after each entered hex. Continuous detections extend one trail segment, a missed detection closes it, and later reacquisition starts a disconnected segment even within the same tactical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D-073</w:t>
            </w:r>
          </w:p>
        </w:tc>
        <w:tc>
          <w:tcPr>
            <w:tcW w:type="dxa" w:w="6192"/>
            <w:vAlign w:val="center"/>
            <w:tcMar>
              <w:top w:w="110" w:type="dxa"/>
              <w:start w:w="120" w:type="dxa"/>
              <w:bottom w:w="110" w:type="dxa"/>
              <w:end w:w="120" w:type="dxa"/>
            </w:tcMar>
          </w:tcPr>
          <w:p>
            <w:pPr>
              <w:spacing w:before="0" w:after="0" w:line="252" w:lineRule="auto"/>
            </w:pPr>
            <w:r>
              <w:t>Omit terminal salvos from active tactical-map contacts and represent their resolution through impact/interception cues, immediate feedback, and the authoritative journal.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D-074</w:t>
            </w:r>
          </w:p>
        </w:tc>
        <w:tc>
          <w:tcPr>
            <w:tcW w:type="dxa" w:w="6192"/>
            <w:vAlign w:val="center"/>
            <w:tcMar>
              <w:top w:w="110" w:type="dxa"/>
              <w:start w:w="120" w:type="dxa"/>
              <w:bottom w:w="110" w:type="dxa"/>
              <w:end w:w="120" w:type="dxa"/>
            </w:tcMar>
          </w:tcPr>
          <w:p>
            <w:pPr>
              <w:spacing w:before="0" w:after="0" w:line="252" w:lineRule="auto"/>
            </w:pPr>
            <w:r>
              <w:t>Route every missile batch, including mixed terminal and surviving outcomes, through one mandatory finalization path that refreshes tracks, observer-safe contacts, selection, stacks, cues, controls, redraw, and diagnostics.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D-075</w:t>
            </w:r>
          </w:p>
        </w:tc>
        <w:tc>
          <w:tcPr>
            <w:tcW w:type="dxa" w:w="6192"/>
            <w:vAlign w:val="center"/>
            <w:tcMar>
              <w:top w:w="110" w:type="dxa"/>
              <w:start w:w="120" w:type="dxa"/>
              <w:bottom w:w="110" w:type="dxa"/>
              <w:end w:w="120" w:type="dxa"/>
            </w:tcMar>
          </w:tcPr>
          <w:p>
            <w:pPr>
              <w:spacing w:before="0" w:after="0" w:line="252" w:lineRule="auto"/>
            </w:pPr>
            <w:r>
              <w:t>Key missile selection by stable salvo identity and move or clear the inspected/highlighted coordinate when that salvo moves, hides, terminates, or becomes unselected.</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D-076</w:t>
            </w:r>
          </w:p>
        </w:tc>
        <w:tc>
          <w:tcPr>
            <w:tcW w:type="dxa" w:w="6192"/>
            <w:vAlign w:val="center"/>
            <w:tcMar>
              <w:top w:w="110" w:type="dxa"/>
              <w:start w:w="120" w:type="dxa"/>
              <w:bottom w:w="110" w:type="dxa"/>
              <w:end w:w="120" w:type="dxa"/>
            </w:tcMar>
          </w:tcPr>
          <w:p>
            <w:pPr>
              <w:spacing w:before="0" w:after="0" w:line="252" w:lineRule="auto"/>
            </w:pPr>
            <w:r>
              <w:t>Treat selection as inspection unless the current weapon solution is legal. Stale, Approximate, Lost, Unknown, or currently occluded contacts cannot receive a specific direct-fire order or yellow weapon-target indication.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D-077</w:t>
            </w:r>
          </w:p>
        </w:tc>
        <w:tc>
          <w:tcPr>
            <w:tcW w:type="dxa" w:w="6192"/>
            <w:vAlign w:val="center"/>
            <w:tcMar>
              <w:top w:w="110" w:type="dxa"/>
              <w:start w:w="120" w:type="dxa"/>
              <w:bottom w:w="110" w:type="dxa"/>
              <w:end w:w="120" w:type="dxa"/>
            </w:tcMar>
          </w:tcPr>
          <w:p>
            <w:pPr>
              <w:spacing w:before="0" w:after="0" w:line="252" w:lineRule="auto"/>
            </w:pPr>
            <w:r>
              <w:t>Require a Firm current track, clear current weapon line of sight, and current range for ship direct fire because ships have already moved. Do not suspend an illegal ship attack for later in the same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D-078</w:t>
            </w:r>
          </w:p>
        </w:tc>
        <w:tc>
          <w:tcPr>
            <w:tcW w:type="dxa" w:w="6192"/>
            <w:vAlign w:val="center"/>
            <w:tcMar>
              <w:top w:w="110" w:type="dxa"/>
              <w:start w:w="120" w:type="dxa"/>
              <w:bottom w:w="110" w:type="dxa"/>
              <w:end w:w="120" w:type="dxa"/>
            </w:tcMar>
          </w:tcPr>
          <w:p>
            <w:pPr>
              <w:spacing w:before="0" w:after="0" w:line="252" w:lineRule="auto"/>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D-079</w:t>
            </w:r>
          </w:p>
        </w:tc>
        <w:tc>
          <w:tcPr>
            <w:tcW w:type="dxa" w:w="6192"/>
            <w:vAlign w:val="center"/>
            <w:tcMar>
              <w:top w:w="110" w:type="dxa"/>
              <w:start w:w="120" w:type="dxa"/>
              <w:bottom w:w="110" w:type="dxa"/>
              <w:end w:w="120" w:type="dxa"/>
            </w:tcMar>
          </w:tcPr>
          <w:p>
            <w:pPr>
              <w:spacing w:before="0" w:after="0" w:line="252" w:lineRule="auto"/>
            </w:pPr>
            <w:r>
              <w:t>Keep the tactical map viewport independent of changing side-panel content, and preserve missile-resolution cues through Damage before clearing them on entry to Damage Control.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D-080</w:t>
            </w:r>
          </w:p>
        </w:tc>
        <w:tc>
          <w:tcPr>
            <w:tcW w:type="dxa" w:w="6192"/>
            <w:vAlign w:val="center"/>
            <w:tcMar>
              <w:top w:w="110" w:type="dxa"/>
              <w:start w:w="120" w:type="dxa"/>
              <w:bottom w:w="110" w:type="dxa"/>
              <w:end w:w="120" w:type="dxa"/>
            </w:tcMar>
          </w:tcPr>
          <w:p>
            <w:r>
              <w:t>Use explicit sensor detection and discrimination steps. Active emissions, target signature, stealth, environment, ECM, and ECCM influence those steps; exact numeric progressions remain data-driven.</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D-081</w:t>
            </w:r>
          </w:p>
        </w:tc>
        <w:tc>
          <w:tcPr>
            <w:tcW w:type="dxa" w:w="6192"/>
            <w:vAlign w:val="center"/>
            <w:tcMar>
              <w:top w:w="110" w:type="dxa"/>
              <w:start w:w="120" w:type="dxa"/>
              <w:bottom w:w="110" w:type="dxa"/>
              <w:end w:w="120" w:type="dxa"/>
            </w:tcMar>
          </w:tcPr>
          <w:p>
            <w:pPr>
              <w:spacing w:before="0" w:after="0" w:line="252" w:lineRule="auto"/>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D-082</w:t>
            </w:r>
          </w:p>
        </w:tc>
        <w:tc>
          <w:tcPr>
            <w:tcW w:type="dxa" w:w="6192"/>
            <w:vAlign w:val="center"/>
            <w:tcMar>
              <w:top w:w="110" w:type="dxa"/>
              <w:start w:w="120" w:type="dxa"/>
              <w:bottom w:w="110" w:type="dxa"/>
              <w:end w:w="120" w:type="dxa"/>
            </w:tcMar>
          </w:tcPr>
          <w:p>
            <w:r>
              <w:t>Treat ECM as observable active emissions that aid detection but impair discrimination. Apply the observer’s full ECCM against each target’s full ECM during every Track Update; never apply ECM again as a hit-roll penalty after Firm exists.</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D-083</w:t>
            </w:r>
          </w:p>
        </w:tc>
        <w:tc>
          <w:tcPr>
            <w:tcW w:type="dxa" w:w="6192"/>
            <w:vAlign w:val="center"/>
            <w:tcMar>
              <w:top w:w="110" w:type="dxa"/>
              <w:start w:w="120" w:type="dxa"/>
              <w:bottom w:w="110" w:type="dxa"/>
              <w:end w:w="120" w:type="dxa"/>
            </w:tcMar>
          </w:tcPr>
          <w:p>
            <w:pPr>
              <w:spacing w:before="0" w:after="0" w:line="252" w:lineRule="auto"/>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D-084</w:t>
            </w:r>
          </w:p>
        </w:tc>
        <w:tc>
          <w:tcPr>
            <w:tcW w:type="dxa" w:w="6192"/>
            <w:vAlign w:val="center"/>
            <w:tcMar>
              <w:top w:w="110" w:type="dxa"/>
              <w:start w:w="120" w:type="dxa"/>
              <w:bottom w:w="110" w:type="dxa"/>
              <w:end w:w="120" w:type="dxa"/>
            </w:tcMar>
          </w:tcPr>
          <w:p>
            <w:pPr>
              <w:spacing w:before="0" w:after="0" w:line="252" w:lineRule="auto"/>
            </w:pPr>
            <w:r>
              <w:t>Do not use unguided rockets as normal space-combat weapons. The least autonomous intended missile is command-guided through a launcher datalink.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D-085</w:t>
            </w:r>
          </w:p>
        </w:tc>
        <w:tc>
          <w:tcPr>
            <w:tcW w:type="dxa" w:w="6192"/>
            <w:vAlign w:val="center"/>
            <w:tcMar>
              <w:top w:w="110" w:type="dxa"/>
              <w:start w:w="120" w:type="dxa"/>
              <w:bottom w:w="110" w:type="dxa"/>
              <w:end w:w="120" w:type="dxa"/>
            </w:tcMar>
          </w:tcPr>
          <w:p>
            <w:pPr>
              <w:spacing w:before="0" w:after="0" w:line="252" w:lineRule="auto"/>
            </w:pPr>
            <w:r>
              <w:t>Model launcher datalink receiver, missile onboard navigation sensor, and terminal seeker as separate optional missile capabilities with explicit source provenance.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D-086</w:t>
            </w:r>
          </w:p>
        </w:tc>
        <w:tc>
          <w:tcPr>
            <w:tcW w:type="dxa" w:w="6192"/>
            <w:vAlign w:val="center"/>
            <w:tcMar>
              <w:top w:w="110" w:type="dxa"/>
              <w:start w:w="120" w:type="dxa"/>
              <w:bottom w:w="110" w:type="dxa"/>
              <w:end w:w="120" w:type="dxa"/>
            </w:tcMar>
          </w:tcPr>
          <w:p>
            <w:pPr>
              <w:spacing w:before="0" w:after="0" w:line="252" w:lineRule="auto"/>
            </w:pPr>
            <w:r>
              <w:t>A command-guided missile with no onboard sensor or seeker may hit only while sharing the target hex, receiving a live launcher datalink, and the launcher holds a current Firm target track.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D-087</w:t>
            </w:r>
          </w:p>
        </w:tc>
        <w:tc>
          <w:tcPr>
            <w:tcW w:type="dxa" w:w="6192"/>
            <w:vAlign w:val="center"/>
            <w:tcMar>
              <w:top w:w="110" w:type="dxa"/>
              <w:start w:w="120" w:type="dxa"/>
              <w:bottom w:w="110" w:type="dxa"/>
              <w:end w:w="120" w:type="dxa"/>
            </w:tcMar>
          </w:tcPr>
          <w:p>
            <w:r>
              <w:t>A seeker-only Missile Flight uses launcher or peer information to reach a terminal opportunity. Its seeker may assist local Firm acquisition and terminal accuracy, but the flight cannot attack without a Current/Firm terminal solution.</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D-088</w:t>
            </w:r>
          </w:p>
        </w:tc>
        <w:tc>
          <w:tcPr>
            <w:tcW w:type="dxa" w:w="6192"/>
            <w:vAlign w:val="center"/>
            <w:tcMar>
              <w:top w:w="110" w:type="dxa"/>
              <w:start w:w="120" w:type="dxa"/>
              <w:bottom w:w="110" w:type="dxa"/>
              <w:end w:w="120" w:type="dxa"/>
            </w:tcMar>
          </w:tcPr>
          <w:p>
            <w:pPr>
              <w:spacing w:before="0" w:after="0" w:line="252" w:lineRule="auto"/>
            </w:pPr>
            <w:r>
              <w:t>A sensor-only missile may navigate autonomously with a local Approximate track but requires a local Firm track to attack and will normally be less accurate than a seeker-equipped missile.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D-089</w:t>
            </w:r>
          </w:p>
        </w:tc>
        <w:tc>
          <w:tcPr>
            <w:tcW w:type="dxa" w:w="6192"/>
            <w:vAlign w:val="center"/>
            <w:tcMar>
              <w:top w:w="110" w:type="dxa"/>
              <w:start w:w="120" w:type="dxa"/>
              <w:bottom w:w="110" w:type="dxa"/>
              <w:end w:w="120" w:type="dxa"/>
            </w:tcMar>
          </w:tcPr>
          <w:p>
            <w:r>
              <w:t>A sensor-plus-seeker Missile Flight keeps launcher, peer, and onboard reports separate, arbitrates by quality, freshness, and uncertainty, and uses the seeker only as a co-located terminal aid toward Firm acquisition and accuracy.</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D-090</w:t>
            </w:r>
          </w:p>
        </w:tc>
        <w:tc>
          <w:tcPr>
            <w:tcW w:type="dxa" w:w="6192"/>
            <w:vAlign w:val="center"/>
            <w:tcMar>
              <w:top w:w="110" w:type="dxa"/>
              <w:start w:w="120" w:type="dxa"/>
              <w:bottom w:w="110" w:type="dxa"/>
              <w:end w:w="120" w:type="dxa"/>
            </w:tcMar>
          </w:tcPr>
          <w:p>
            <w:pPr>
              <w:spacing w:before="0" w:after="0" w:line="252" w:lineRule="auto"/>
            </w:pPr>
            <w:r>
              <w:t>Require launcher-to-missile line of sight for datalink delivery. Treat it separately from launcher-to-target sensor line of sight; blocked links deliver no update, while the missile retains and ages the last report received.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D-091</w:t>
            </w:r>
          </w:p>
        </w:tc>
        <w:tc>
          <w:tcPr>
            <w:tcW w:type="dxa" w:w="6192"/>
            <w:vAlign w:val="center"/>
            <w:tcMar>
              <w:top w:w="110" w:type="dxa"/>
              <w:start w:w="120" w:type="dxa"/>
              <w:bottom w:w="110" w:type="dxa"/>
              <w:end w:w="120" w:type="dxa"/>
            </w:tcMar>
          </w:tcPr>
          <w:p>
            <w:pPr>
              <w:spacing w:before="0" w:after="0" w:line="252" w:lineRule="auto"/>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D-092</w:t>
            </w:r>
          </w:p>
        </w:tc>
        <w:tc>
          <w:tcPr>
            <w:tcW w:type="dxa" w:w="6192"/>
            <w:vAlign w:val="center"/>
            <w:tcMar>
              <w:top w:w="110" w:type="dxa"/>
              <w:start w:w="120" w:type="dxa"/>
              <w:bottom w:w="110" w:type="dxa"/>
              <w:end w:w="120" w:type="dxa"/>
            </w:tcMar>
          </w:tcPr>
          <w:p>
            <w:r>
              <w:t>Treat same-hex missile/target occupancy as proximity rather than automatic impact. Enforce the local-track and Current/Firm terminal-solution gates appropriate to the Missile Flight’s installed capabilities.</w:t>
            </w:r>
          </w:p>
        </w:tc>
        <w:tc>
          <w:tcPr>
            <w:tcW w:type="dxa" w:w="1872"/>
            <w:vAlign w:val="center"/>
            <w:tcMar>
              <w:top w:w="110" w:type="dxa"/>
              <w:start w:w="120" w:type="dxa"/>
              <w:bottom w:w="110" w:type="dxa"/>
              <w:end w:w="120" w:type="dxa"/>
            </w:tcMar>
          </w:tcPr>
          <w:p>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D-093</w:t>
            </w:r>
          </w:p>
        </w:tc>
        <w:tc>
          <w:tcPr>
            <w:tcW w:type="dxa" w:w="6192"/>
            <w:vAlign w:val="center"/>
            <w:tcMar>
              <w:top w:w="110" w:type="dxa"/>
              <w:start w:w="120" w:type="dxa"/>
              <w:bottom w:w="110" w:type="dxa"/>
              <w:end w:w="120" w:type="dxa"/>
            </w:tcMar>
          </w:tcPr>
          <w:p>
            <w:pPr>
              <w:spacing w:before="0" w:after="0" w:line="252" w:lineRule="auto"/>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D-094</w:t>
            </w:r>
          </w:p>
        </w:tc>
        <w:tc>
          <w:tcPr>
            <w:tcW w:type="dxa" w:w="6192"/>
            <w:vAlign w:val="center"/>
            <w:tcMar>
              <w:top w:w="110" w:type="dxa"/>
              <w:start w:w="120" w:type="dxa"/>
              <w:bottom w:w="110" w:type="dxa"/>
              <w:end w:w="120" w:type="dxa"/>
            </w:tcMar>
          </w:tcPr>
          <w:p>
            <w:pPr>
              <w:spacing w:before="0" w:after="0" w:line="252" w:lineRule="auto"/>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D-095</w:t>
            </w:r>
          </w:p>
        </w:tc>
        <w:tc>
          <w:tcPr>
            <w:tcW w:type="dxa" w:w="6192"/>
            <w:vAlign w:val="center"/>
            <w:tcMar>
              <w:top w:w="110" w:type="dxa"/>
              <w:start w:w="120" w:type="dxa"/>
              <w:bottom w:w="110" w:type="dxa"/>
              <w:end w:w="120" w:type="dxa"/>
            </w:tcMar>
          </w:tcPr>
          <w:p>
            <w:pPr>
              <w:spacing w:before="0" w:after="0" w:line="252" w:lineRule="auto"/>
            </w:pPr>
            <w:r>
              <w:t>Treat missile overshoot, obsolete-coordinate pursuit, and out-of-range active search after a fast target passes the missile as legitimate tactical counterplay.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D-096</w:t>
            </w:r>
          </w:p>
        </w:tc>
        <w:tc>
          <w:tcPr>
            <w:tcW w:type="dxa" w:w="6192"/>
            <w:vAlign w:val="center"/>
            <w:tcMar>
              <w:top w:w="110" w:type="dxa"/>
              <w:start w:w="120" w:type="dxa"/>
              <w:bottom w:w="110" w:type="dxa"/>
              <w:end w:w="120" w:type="dxa"/>
            </w:tcMar>
          </w:tcPr>
          <w:p>
            <w: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1872"/>
            <w:vAlign w:val="center"/>
            <w:tcMar>
              <w:top w:w="110" w:type="dxa"/>
              <w:start w:w="120" w:type="dxa"/>
              <w:bottom w:w="110" w:type="dxa"/>
              <w:end w:w="120" w:type="dxa"/>
            </w:tcMar>
          </w:tcPr>
          <w:p>
            <w:r>
              <w:t>Superseded by D-110</w:t>
            </w:r>
          </w:p>
        </w:tc>
      </w:tr>
      <w:tr>
        <w:trPr/>
        <w:tc>
          <w:tcPr>
            <w:tcW w:type="dxa" w:w="1152"/>
            <w:vAlign w:val="center"/>
            <w:tcMar>
              <w:top w:w="110" w:type="dxa"/>
              <w:start w:w="120" w:type="dxa"/>
              <w:bottom w:w="110" w:type="dxa"/>
              <w:end w:w="120" w:type="dxa"/>
            </w:tcMar>
          </w:tcPr>
          <w:p>
            <w:pPr>
              <w:spacing w:before="0" w:after="0" w:line="252" w:lineRule="auto"/>
              <w:jc w:val="left"/>
            </w:pPr>
            <w:r>
              <w:rPr>
                <w:b/>
              </w:rPr>
              <w:t>D-097</w:t>
            </w:r>
          </w:p>
        </w:tc>
        <w:tc>
          <w:tcPr>
            <w:tcW w:type="dxa" w:w="6192"/>
            <w:vAlign w:val="center"/>
            <w:tcMar>
              <w:top w:w="110" w:type="dxa"/>
              <w:start w:w="120" w:type="dxa"/>
              <w:bottom w:w="110" w:type="dxa"/>
              <w:end w:w="120" w:type="dxa"/>
            </w:tcMar>
          </w:tcPr>
          <w:p>
            <w:pPr>
              <w:spacing w:before="0" w:after="0" w:line="252" w:lineRule="auto"/>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D-098</w:t>
            </w:r>
          </w:p>
        </w:tc>
        <w:tc>
          <w:tcPr>
            <w:tcW w:type="dxa" w:w="6192"/>
            <w:vAlign w:val="center"/>
            <w:tcMar>
              <w:top w:w="110" w:type="dxa"/>
              <w:start w:w="120" w:type="dxa"/>
              <w:bottom w:w="110" w:type="dxa"/>
              <w:end w:w="120" w:type="dxa"/>
            </w:tcMar>
          </w:tcPr>
          <w:p>
            <w:pPr>
              <w:spacing w:before="0" w:after="0" w:line="252" w:lineRule="auto"/>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D-099</w:t>
            </w:r>
          </w:p>
        </w:tc>
        <w:tc>
          <w:tcPr>
            <w:tcW w:type="dxa" w:w="6192"/>
            <w:vAlign w:val="center"/>
            <w:tcMar>
              <w:top w:w="110" w:type="dxa"/>
              <w:start w:w="120" w:type="dxa"/>
              <w:bottom w:w="110" w:type="dxa"/>
              <w:end w:w="120" w:type="dxa"/>
            </w:tcMar>
          </w:tcPr>
          <w:p>
            <w:pPr>
              <w:spacing w:before="0" w:after="0" w:line="252" w:lineRule="auto"/>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D-100</w:t>
            </w:r>
          </w:p>
        </w:tc>
        <w:tc>
          <w:tcPr>
            <w:tcW w:type="dxa" w:w="6192"/>
            <w:vAlign w:val="center"/>
            <w:tcMar>
              <w:top w:w="110" w:type="dxa"/>
              <w:start w:w="120" w:type="dxa"/>
              <w:bottom w:w="110" w:type="dxa"/>
              <w:end w:w="120" w:type="dxa"/>
            </w:tcMar>
          </w:tcPr>
          <w:p>
            <w:pPr>
              <w:spacing w:before="0" w:after="0" w:line="252" w:lineRule="auto"/>
            </w:pPr>
            <w:r>
              <w:t>Pause automatic multi-hex ship movement after a committed step if a previously Unknown hostile missile becomes visible before the selected destination; do not rewind executed movement.</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D-101</w:t>
            </w:r>
          </w:p>
        </w:tc>
        <w:tc>
          <w:tcPr>
            <w:tcW w:type="dxa" w:w="6192"/>
            <w:vAlign w:val="center"/>
            <w:tcMar>
              <w:top w:w="110" w:type="dxa"/>
              <w:start w:w="120" w:type="dxa"/>
              <w:bottom w:w="110" w:type="dxa"/>
              <w:end w:w="120" w:type="dxa"/>
            </w:tcMar>
          </w:tcPr>
          <w:p>
            <w:pPr>
              <w:spacing w:before="0" w:after="0" w:line="252" w:lineRule="auto"/>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D-102</w:t>
            </w:r>
          </w:p>
        </w:tc>
        <w:tc>
          <w:tcPr>
            <w:tcW w:type="dxa" w:w="6192"/>
            <w:vAlign w:val="center"/>
            <w:tcMar>
              <w:top w:w="110" w:type="dxa"/>
              <w:start w:w="120" w:type="dxa"/>
              <w:bottom w:w="110" w:type="dxa"/>
              <w:end w:w="120" w:type="dxa"/>
            </w:tcMar>
          </w:tcPr>
          <w:p>
            <w:pPr>
              <w:spacing w:before="0" w:after="0" w:line="252" w:lineRule="auto"/>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D-103</w:t>
            </w:r>
          </w:p>
        </w:tc>
        <w:tc>
          <w:tcPr>
            <w:tcW w:type="dxa" w:w="6192"/>
            <w:vAlign w:val="center"/>
            <w:tcMar>
              <w:top w:w="110" w:type="dxa"/>
              <w:start w:w="120" w:type="dxa"/>
              <w:bottom w:w="110" w:type="dxa"/>
              <w:end w:w="120" w:type="dxa"/>
            </w:tcMar>
          </w:tcPr>
          <w:p>
            <w:pPr>
              <w:spacing w:before="0" w:after="0" w:line="252" w:lineRule="auto"/>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D-104</w:t>
            </w:r>
          </w:p>
        </w:tc>
        <w:tc>
          <w:tcPr>
            <w:tcW w:type="dxa" w:w="6192"/>
            <w:vAlign w:val="center"/>
            <w:tcMar>
              <w:top w:w="110" w:type="dxa"/>
              <w:start w:w="120" w:type="dxa"/>
              <w:bottom w:w="110" w:type="dxa"/>
              <w:end w:w="120" w:type="dxa"/>
            </w:tcMar>
          </w:tcPr>
          <w:p>
            <w:pPr>
              <w:spacing w:before="0" w:after="0" w:line="252" w:lineRule="auto"/>
            </w:pPr>
            <w:r>
              <w:t>Project a friendly missile route from the missile-owned report it actually consumed rather than from a newer observer-ship target track. Keep hostile datalink state and retained-report details observer-hidden.</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D-105</w:t>
            </w:r>
          </w:p>
        </w:tc>
        <w:tc>
          <w:tcPr>
            <w:tcW w:type="dxa" w:w="6192"/>
            <w:vAlign w:val="center"/>
            <w:tcMar>
              <w:top w:w="110" w:type="dxa"/>
              <w:start w:w="120" w:type="dxa"/>
              <w:bottom w:w="110" w:type="dxa"/>
              <w:end w:w="120" w:type="dxa"/>
            </w:tcMar>
          </w:tcPr>
          <w:p>
            <w:pPr>
              <w:spacing w:before="0" w:after="0" w:line="252" w:lineRule="auto"/>
            </w:pPr>
            <w:r>
              <w:t>Distinguish newly resolved launches, existing salvos advanced, and total missile actions in batch diagnostics so launch-plus-advance commands cannot under-report the work performed.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D-106</w:t>
            </w:r>
          </w:p>
        </w:tc>
        <w:tc>
          <w:tcPr>
            <w:tcW w:type="dxa" w:w="6192"/>
            <w:vAlign w:val="center"/>
            <w:tcMar>
              <w:top w:w="110" w:type="dxa"/>
              <w:start w:w="120" w:type="dxa"/>
              <w:bottom w:w="110" w:type="dxa"/>
              <w:end w:w="120" w:type="dxa"/>
            </w:tcMar>
          </w:tcPr>
          <w:p>
            <w:pPr>
              <w:spacing w:before="0" w:after="0" w:line="252" w:lineRule="auto"/>
            </w:pPr>
            <w:r>
              <w:t>Give each sensor-equipped missile a separate local onboard track. Attempt Passive observation first and escalate to Active only after a Passive miss when the installed profile permits a useful Active bonus.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D-107</w:t>
            </w:r>
          </w:p>
        </w:tc>
        <w:tc>
          <w:tcPr>
            <w:tcW w:type="dxa" w:w="6192"/>
            <w:vAlign w:val="center"/>
            <w:tcMar>
              <w:top w:w="110" w:type="dxa"/>
              <w:start w:w="120" w:type="dxa"/>
              <w:bottom w:w="110" w:type="dxa"/>
              <w:end w:w="120" w:type="dxa"/>
            </w:tcMar>
          </w:tcPr>
          <w:p>
            <w:pPr>
              <w:spacing w:before="0" w:after="0" w:line="252" w:lineRule="auto"/>
            </w:pPr>
            <w:r>
              <w:t>Arbitrate FreshDatalink, RetainedDatalink, and LocalSensor reports by quality, source observation epoch, lower uncertainty, and then a LocalSensor exact-tie preference while preserving every candidate and its provenance.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D-108</w:t>
            </w:r>
          </w:p>
        </w:tc>
        <w:tc>
          <w:tcPr>
            <w:tcW w:type="dxa" w:w="6192"/>
            <w:vAlign w:val="center"/>
            <w:tcMar>
              <w:top w:w="110" w:type="dxa"/>
              <w:start w:w="120" w:type="dxa"/>
              <w:bottom w:w="110" w:type="dxa"/>
              <w:end w:w="120" w:type="dxa"/>
            </w:tcMar>
          </w:tcPr>
          <w:p>
            <w:pPr>
              <w:spacing w:before="0" w:after="0" w:line="252" w:lineRule="auto"/>
            </w:pPr>
            <w:r>
              <w:t>After every entered missile hex, update the local track, re-arbitrate reports, and immediately replan when the selected source, quality, or coordinate changes. Never refund movement already spent or cumulative lifetime range.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D-109</w:t>
            </w:r>
          </w:p>
        </w:tc>
        <w:tc>
          <w:tcPr>
            <w:tcW w:type="dxa" w:w="6192"/>
            <w:vAlign w:val="center"/>
            <w:tcMar>
              <w:top w:w="110" w:type="dxa"/>
              <w:start w:w="120" w:type="dxa"/>
              <w:bottom w:w="110" w:type="dxa"/>
              <w:end w:w="120" w:type="dxa"/>
            </w:tcMar>
          </w:tcPr>
          <w:p>
            <w:pPr>
              <w:spacing w:before="0" w:after="0" w:line="252" w:lineRule="auto"/>
            </w:pPr>
            <w:r>
              <w:t>Use solid lines for observer-confirmed travel history, dashed lines for friendly planned missile routes, and dotted lines for hostile incoming-threat estimates. A dotted hostile estimate never proves an enemy lock or hidden guidance state.</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D-110</w:t>
            </w:r>
          </w:p>
        </w:tc>
        <w:tc>
          <w:tcPr>
            <w:tcW w:type="dxa" w:w="6192"/>
            <w:vAlign w:val="center"/>
            <w:tcMar>
              <w:top w:w="110" w:type="dxa"/>
              <w:start w:w="120" w:type="dxa"/>
              <w:bottom w:w="110" w:type="dxa"/>
              <w:end w:w="120" w:type="dxa"/>
            </w:tcMar>
          </w:tcPr>
          <w:p>
            <w:pPr>
              <w:spacing w:before="0" w:after="0" w:line="252" w:lineRule="auto"/>
            </w:pPr>
            <w:r>
              <w:t>Keep every observer-confirmed missile trail segment visible at subdued intensity. Selection only emphasizes known history; loss and reacquisition create disconnected segments and never bridge unseen travel.</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D-111</w:t>
            </w:r>
          </w:p>
        </w:tc>
        <w:tc>
          <w:tcPr>
            <w:tcW w:type="dxa" w:w="6192"/>
            <w:vAlign w:val="center"/>
            <w:tcMar>
              <w:top w:w="110" w:type="dxa"/>
              <w:start w:w="120" w:type="dxa"/>
              <w:bottom w:w="110" w:type="dxa"/>
              <w:end w:w="120" w:type="dxa"/>
            </w:tcMar>
          </w:tcPr>
          <w:p>
            <w:pPr>
              <w:spacing w:before="0" w:after="0" w:line="252" w:lineRule="auto"/>
            </w:pPr>
            <w:r>
              <w:t>Provide an opt-in AUTHORITATIVE DEBUG panel for development validation of selected-missile datalink, retained report, local track, arbitration, range, and replanning state. Keep it default-off and separate from normal player knowledge.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D-112</w:t>
            </w:r>
          </w:p>
        </w:tc>
        <w:tc>
          <w:tcPr>
            <w:tcW w:type="dxa" w:w="6192"/>
            <w:vAlign w:val="center"/>
            <w:tcMar>
              <w:top w:w="110" w:type="dxa"/>
              <w:start w:w="120" w:type="dxa"/>
              <w:bottom w:w="110" w:type="dxa"/>
              <w:end w:w="120" w:type="dxa"/>
            </w:tcMar>
          </w:tcPr>
          <w:p>
            <w:pPr>
              <w:spacing w:before="0" w:after="0" w:line="252" w:lineRule="auto"/>
            </w:pPr>
            <w:r>
              <w:t>Emit autonomous missile journal evidence in causal order with one explicit movement-edge event before each post-entry local observation, arbitration, optional replan, and edge interception.</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D-113</w:t>
            </w:r>
          </w:p>
        </w:tc>
        <w:tc>
          <w:tcPr>
            <w:tcW w:type="dxa" w:w="6192"/>
            <w:vAlign w:val="center"/>
            <w:tcMar>
              <w:top w:w="110" w:type="dxa"/>
              <w:start w:w="120" w:type="dxa"/>
              <w:bottom w:w="110" w:type="dxa"/>
              <w:end w:w="120" w:type="dxa"/>
            </w:tcMar>
          </w:tcPr>
          <w:p>
            <w:pPr>
              <w:spacing w:before="0" w:after="0" w:line="252" w:lineRule="auto"/>
            </w:pPr>
            <w:r>
              <w:t>Attach every missile-local sensor event to the missile coordinate for that exact action-start, target-movement, sensor-state, or post-entry opportunity.</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D-114</w:t>
            </w:r>
          </w:p>
        </w:tc>
        <w:tc>
          <w:tcPr>
            <w:tcW w:type="dxa" w:w="6192"/>
            <w:vAlign w:val="center"/>
            <w:tcMar>
              <w:top w:w="110" w:type="dxa"/>
              <w:start w:w="120" w:type="dxa"/>
              <w:bottom w:w="110" w:type="dxa"/>
              <w:end w:w="120" w:type="dxa"/>
            </w:tcMar>
          </w:tcPr>
          <w:p>
            <w:pPr>
              <w:spacing w:before="0" w:after="0" w:line="252" w:lineRule="auto"/>
            </w:pPr>
            <w:r>
              <w:t>Record observed-trail segment starts and closes when player movement or Sensor / EW changes alter missile visibility, without duplicating missile-movement lifecycle events.</w:t>
            </w:r>
          </w:p>
        </w:tc>
        <w:tc>
          <w:tcPr>
            <w:tcW w:type="dxa" w:w="1872"/>
            <w:vAlign w:val="center"/>
            <w:tcMar>
              <w:top w:w="110" w:type="dxa"/>
              <w:start w:w="120" w:type="dxa"/>
              <w:bottom w:w="110" w:type="dxa"/>
              <w:end w:w="120" w:type="dxa"/>
            </w:tcMar>
          </w:tcPr>
          <w:p>
            <w:pPr>
              <w:spacing w:before="0" w:after="0" w:line="252" w:lineRule="auto"/>
            </w:pPr>
            <w:r>
              <w:t>Implemented observer-safe diagnostics</w:t>
            </w:r>
          </w:p>
        </w:tc>
      </w:tr>
      <w:tr>
        <w:tc>
          <w:tcPr>
            <w:tcW w:type="dxa" w:w="1152"/>
            <w:vAlign w:val="center"/>
            <w:tcMar>
              <w:top w:w="110" w:type="dxa"/>
              <w:start w:w="120" w:type="dxa"/>
              <w:bottom w:w="110" w:type="dxa"/>
              <w:end w:w="120" w:type="dxa"/>
            </w:tcMar>
          </w:tcPr>
          <w:p>
            <w:pPr>
              <w:spacing w:before="0" w:after="0" w:line="252" w:lineRule="auto"/>
              <w:jc w:val="left"/>
            </w:pPr>
            <w:r>
              <w:rPr>
                <w:b/>
              </w:rPr>
              <w:t>D-115</w:t>
            </w:r>
          </w:p>
        </w:tc>
        <w:tc>
          <w:tcPr>
            <w:tcW w:type="dxa" w:w="6192"/>
            <w:vAlign w:val="center"/>
            <w:tcMar>
              <w:top w:w="110" w:type="dxa"/>
              <w:start w:w="120" w:type="dxa"/>
              <w:bottom w:w="110" w:type="dxa"/>
              <w:end w:w="120" w:type="dxa"/>
            </w:tcMar>
          </w:tcPr>
          <w:p>
            <w:pPr>
              <w:spacing w:before="0" w:after="0" w:line="252" w:lineRule="auto"/>
            </w:pPr>
            <w:r>
              <w:t>Allow click-again deselection for one selected contact, preserve layered interception feedback through the missile phase, and keep active known trails above a readable minimum opacity.</w:t>
            </w:r>
          </w:p>
        </w:tc>
        <w:tc>
          <w:tcPr>
            <w:tcW w:type="dxa" w:w="1872"/>
            <w:vAlign w:val="center"/>
            <w:tcMar>
              <w:top w:w="110" w:type="dxa"/>
              <w:start w:w="120" w:type="dxa"/>
              <w:bottom w:w="110" w:type="dxa"/>
              <w:end w:w="120" w:type="dxa"/>
            </w:tcMar>
          </w:tcPr>
          <w:p>
            <w:pPr>
              <w:spacing w:before="0" w:after="0" w:line="252" w:lineRule="auto"/>
            </w:pPr>
            <w:r>
              <w:t>Implemented presentation correction</w:t>
            </w:r>
          </w:p>
        </w:tc>
      </w:tr>
      <w:tr>
        <w:tc>
          <w:tcPr>
            <w:tcW w:type="dxa" w:w="1152"/>
            <w:vAlign w:val="center"/>
            <w:tcMar>
              <w:top w:w="110" w:type="dxa"/>
              <w:start w:w="120" w:type="dxa"/>
              <w:bottom w:w="110" w:type="dxa"/>
              <w:end w:w="120" w:type="dxa"/>
            </w:tcMar>
          </w:tcPr>
          <w:p>
            <w:pPr>
              <w:spacing w:before="0" w:after="0" w:line="252" w:lineRule="auto"/>
              <w:jc w:val="left"/>
            </w:pPr>
            <w:r>
              <w:rPr>
                <w:b/>
              </w:rPr>
              <w:t>D-116</w:t>
            </w:r>
          </w:p>
        </w:tc>
        <w:tc>
          <w:tcPr>
            <w:tcW w:type="dxa" w:w="6192"/>
            <w:vAlign w:val="center"/>
            <w:tcMar>
              <w:top w:w="110" w:type="dxa"/>
              <w:start w:w="120" w:type="dxa"/>
              <w:bottom w:w="110" w:type="dxa"/>
              <w:end w:w="120" w:type="dxa"/>
            </w:tcMar>
          </w:tcPr>
          <w:p>
            <w:pPr>
              <w:spacing w:before="0" w:after="0" w:line="252" w:lineRule="auto"/>
            </w:pPr>
            <w:r>
              <w:t>Treat the validation playbook, exact action route, expected event fields, evidence checklist, and numbered note template as synchronized checkpoint artifacts.</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D-117</w:t>
            </w:r>
          </w:p>
        </w:tc>
        <w:tc>
          <w:tcPr>
            <w:tcW w:type="dxa" w:w="6192"/>
            <w:vAlign w:val="center"/>
            <w:tcMar>
              <w:top w:w="110" w:type="dxa"/>
              <w:start w:w="120" w:type="dxa"/>
              <w:bottom w:w="110" w:type="dxa"/>
              <w:end w:w="120" w:type="dxa"/>
            </w:tcMar>
          </w:tcPr>
          <w:p>
            <w:pPr>
              <w:spacing w:before="0" w:after="0" w:line="252" w:lineRule="auto"/>
            </w:pPr>
            <w:r>
              <w:t>Use deterministic hard eligibility gates followed by one bounded seeded roll-high d100 attack. Luck cannot bypass Firm solution, LOS, range, operational-system, co-location, or other physical requirements.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D-118</w:t>
            </w:r>
          </w:p>
        </w:tc>
        <w:tc>
          <w:tcPr>
            <w:tcW w:type="dxa" w:w="6192"/>
            <w:vAlign w:val="center"/>
            <w:tcMar>
              <w:top w:w="110" w:type="dxa"/>
              <w:start w:w="120" w:type="dxa"/>
              <w:bottom w:w="110" w:type="dxa"/>
              <w:end w:w="120" w:type="dxa"/>
            </w:tcMar>
          </w:tcPr>
          <w:p>
            <w:pPr>
              <w:spacing w:before="0" w:after="0" w:line="252" w:lineRule="auto"/>
            </w:pPr>
            <w:r>
              <w:t>Treat natural 01 as Critical Miss and natural 100 as Critical Hit. Let the executing fire-control component provide data-driven minimum/maximum hit probabilities and natural failure/success bands.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D-119</w:t>
            </w:r>
          </w:p>
        </w:tc>
        <w:tc>
          <w:tcPr>
            <w:tcW w:type="dxa" w:w="6192"/>
            <w:vAlign w:val="center"/>
            <w:tcMar>
              <w:top w:w="110" w:type="dxa"/>
              <w:start w:w="120" w:type="dxa"/>
              <w:bottom w:w="110" w:type="dxa"/>
              <w:end w:w="120" w:type="dxa"/>
            </w:tcMar>
          </w:tcPr>
          <w:p>
            <w:pPr>
              <w:spacing w:before="0" w:after="0" w:line="252" w:lineRule="auto"/>
            </w:pPr>
            <w:r>
              <w:t>Treat each installed direct-fire weapon battery as one attack package and damage packet per use, regardless of physical beam continuity, pulse count, or projectile burst.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D-120</w:t>
            </w:r>
          </w:p>
        </w:tc>
        <w:tc>
          <w:tcPr>
            <w:tcW w:type="dxa" w:w="6192"/>
            <w:vAlign w:val="center"/>
            <w:tcMar>
              <w:top w:w="110" w:type="dxa"/>
              <w:start w:w="120" w:type="dxa"/>
              <w:bottom w:w="110" w:type="dxa"/>
              <w:end w:w="120" w:type="dxa"/>
            </w:tcMar>
          </w:tcPr>
          <w:p>
            <w:pPr>
              <w:spacing w:before="0" w:after="0" w:line="252" w:lineRule="auto"/>
            </w:pPr>
            <w:r>
              <w:t>Use one direct-fire range model: 0% penalty at range 0, provisionally -5 percentage points per hex, and prohibit fire beyond the weapon Maximum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D-121</w:t>
            </w:r>
          </w:p>
        </w:tc>
        <w:tc>
          <w:tcPr>
            <w:tcW w:type="dxa" w:w="6192"/>
            <w:vAlign w:val="center"/>
            <w:tcMar>
              <w:top w:w="110" w:type="dxa"/>
              <w:start w:w="120" w:type="dxa"/>
              <w:bottom w:w="110" w:type="dxa"/>
              <w:end w:w="120" w:type="dxa"/>
            </w:tcMar>
          </w:tcPr>
          <w:p>
            <w:pPr>
              <w:spacing w:before="0" w:after="0" w:line="252" w:lineRule="auto"/>
            </w:pPr>
            <w:r>
              <w:t>Resolve one ship’s committed attack packages in fixed installed-bay order. Assume advanced fire control can stagger arrival timing; do not order by physical propagation speed.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D-122</w:t>
            </w:r>
          </w:p>
        </w:tc>
        <w:tc>
          <w:tcPr>
            <w:tcW w:type="dxa" w:w="6192"/>
            <w:vAlign w:val="center"/>
            <w:tcMar>
              <w:top w:w="110" w:type="dxa"/>
              <w:start w:w="120" w:type="dxa"/>
              <w:bottom w:w="110" w:type="dxa"/>
              <w:end w:w="120" w:type="dxa"/>
            </w:tcMar>
          </w:tcPr>
          <w:p>
            <w:pPr>
              <w:spacing w:before="0" w:after="0" w:line="252" w:lineRule="auto"/>
            </w:pPr>
            <w:r>
              <w:t>Commit all ship volleys before results, resolve complete volleys by initiative with voluntary whole-volley delay, allow destroyed ships to complete committed fire, and waste later attacks against Destroyed targets as overkill.</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D-123</w:t>
            </w:r>
          </w:p>
        </w:tc>
        <w:tc>
          <w:tcPr>
            <w:tcW w:type="dxa" w:w="6192"/>
            <w:vAlign w:val="center"/>
            <w:tcMar>
              <w:top w:w="110" w:type="dxa"/>
              <w:start w:w="120" w:type="dxa"/>
              <w:bottom w:w="110" w:type="dxa"/>
              <w:end w:w="120" w:type="dxa"/>
            </w:tcMar>
          </w:tcPr>
          <w:p>
            <w:pPr>
              <w:spacing w:before="0" w:after="0" w:line="252" w:lineRule="auto"/>
            </w:pPr>
            <w:r>
              <w:t>Use a full-turn Evasive posture with unchanged movement allowance, provisional defensive benefit, doubled movement fuel cost, minimum stationary fuel cost, and own direct-fire/interception penalties.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D-124</w:t>
            </w:r>
          </w:p>
        </w:tc>
        <w:tc>
          <w:tcPr>
            <w:tcW w:type="dxa" w:w="6192"/>
            <w:vAlign w:val="center"/>
            <w:tcMar>
              <w:top w:w="110" w:type="dxa"/>
              <w:start w:w="120" w:type="dxa"/>
              <w:bottom w:w="110" w:type="dxa"/>
              <w:end w:w="120" w:type="dxa"/>
            </w:tcMar>
          </w:tcPr>
          <w:p>
            <w:pPr>
              <w:spacing w:before="0" w:after="0" w:line="252" w:lineRule="auto"/>
            </w:pPr>
            <w:r>
              <w:t>Give relevant fire-control components Evasive Compensation that reduces only the firing ship’s own Evasive penalty to a minimum of zero; excess compensation never becomes an accuracy bonus.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D-125</w:t>
            </w:r>
          </w:p>
        </w:tc>
        <w:tc>
          <w:tcPr>
            <w:tcW w:type="dxa" w:w="6192"/>
            <w:vAlign w:val="center"/>
            <w:tcMar>
              <w:top w:w="110" w:type="dxa"/>
              <w:start w:w="120" w:type="dxa"/>
              <w:bottom w:w="110" w:type="dxa"/>
              <w:end w:w="120" w:type="dxa"/>
            </w:tcMar>
          </w:tcPr>
          <w:p>
            <w:pPr>
              <w:spacing w:before="0" w:after="0" w:line="252" w:lineRule="auto"/>
            </w:pPr>
            <w:r>
              <w:t>Resolve sensors as detection followed by discrimination. ECM emissions aid detection but impair discrimination; ECCM counters ECM for Firm acquisition and never conceals the jammer emission.</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D-126</w:t>
            </w:r>
          </w:p>
        </w:tc>
        <w:tc>
          <w:tcPr>
            <w:tcW w:type="dxa" w:w="6192"/>
            <w:vAlign w:val="center"/>
            <w:tcMar>
              <w:top w:w="110" w:type="dxa"/>
              <w:start w:w="120" w:type="dxa"/>
              <w:bottom w:w="110" w:type="dxa"/>
              <w:end w:w="120" w:type="dxa"/>
            </w:tcMar>
          </w:tcPr>
          <w:p>
            <w:pPr>
              <w:spacing w:before="0" w:after="0" w:line="252" w:lineRule="auto"/>
            </w:pPr>
            <w:r>
              <w:t>Give every allied positive-strength ECM emitter after the first a +1 Cooperative ECM Screen contribution to allied ships, provisionally capped at +2. Nonfunctional or zero-strength systems do not contribute.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D-127</w:t>
            </w:r>
          </w:p>
        </w:tc>
        <w:tc>
          <w:tcPr>
            <w:tcW w:type="dxa" w:w="6192"/>
            <w:vAlign w:val="center"/>
            <w:tcMar>
              <w:top w:w="110" w:type="dxa"/>
              <w:start w:w="120" w:type="dxa"/>
              <w:bottom w:w="110" w:type="dxa"/>
              <w:end w:w="120" w:type="dxa"/>
            </w:tcMar>
          </w:tcPr>
          <w:p>
            <w:pPr>
              <w:spacing w:before="0" w:after="0" w:line="252" w:lineRule="auto"/>
            </w:pPr>
            <w:r>
              <w:t>Apply each observer’s full ECCM independently to every target at every Track Update. ECCM is not split, spent, retained, or allocated during weapon targeting.</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D-128</w:t>
            </w:r>
          </w:p>
        </w:tc>
        <w:tc>
          <w:tcPr>
            <w:tcW w:type="dxa" w:w="6192"/>
            <w:vAlign w:val="center"/>
            <w:tcMar>
              <w:top w:w="110" w:type="dxa"/>
              <w:start w:w="120" w:type="dxa"/>
              <w:bottom w:w="110" w:type="dxa"/>
              <w:end w:w="120" w:type="dxa"/>
            </w:tcMar>
          </w:tcPr>
          <w:p>
            <w:pPr>
              <w:spacing w:before="0" w:after="0" w:line="252" w:lineRule="auto"/>
            </w:pPr>
            <w:r>
              <w:t>Keep hostile ECM strength and cooperative-screen arithmetic observer-hidden. Normal UI may show ECM Active/Off, legitimate qualitative interference, and resulting track quality only.</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D-129</w:t>
            </w:r>
          </w:p>
        </w:tc>
        <w:tc>
          <w:tcPr>
            <w:tcW w:type="dxa" w:w="6192"/>
            <w:vAlign w:val="center"/>
            <w:tcMar>
              <w:top w:w="110" w:type="dxa"/>
              <w:start w:w="120" w:type="dxa"/>
              <w:bottom w:w="110" w:type="dxa"/>
              <w:end w:w="120" w:type="dxa"/>
            </w:tcMar>
          </w:tcPr>
          <w:p>
            <w:pPr>
              <w:spacing w:before="0" w:after="0" w:line="252" w:lineRule="auto"/>
            </w:pPr>
            <w:r>
              <w:t>Treat one tactical missile counter as a Missile Flight: one missile or coordinated cluster sharing one guidance state, fuel/range account, terminal roll, and warhead damage packet.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D-130</w:t>
            </w:r>
          </w:p>
        </w:tc>
        <w:tc>
          <w:tcPr>
            <w:tcW w:type="dxa" w:w="6192"/>
            <w:vAlign w:val="center"/>
            <w:tcMar>
              <w:top w:w="110" w:type="dxa"/>
              <w:start w:w="120" w:type="dxa"/>
              <w:bottom w:w="110" w:type="dxa"/>
              <w:end w:w="120" w:type="dxa"/>
            </w:tcMar>
          </w:tcPr>
          <w:p>
            <w:pPr>
              <w:spacing w:before="0" w:after="0" w:line="252" w:lineRule="auto"/>
            </w:pPr>
            <w:r>
              <w:t>Use onboard navigation sensors for local cruise/terminal tracks, Guidance Computers for terminal execution and d100 bounds, and optional seekers only as co-located terminal ECCM and accuracy assistance.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D-131</w:t>
            </w:r>
          </w:p>
        </w:tc>
        <w:tc>
          <w:tcPr>
            <w:tcW w:type="dxa" w:w="6192"/>
            <w:vAlign w:val="center"/>
            <w:tcMar>
              <w:top w:w="110" w:type="dxa"/>
              <w:start w:w="120" w:type="dxa"/>
              <w:bottom w:w="110" w:type="dxa"/>
              <w:end w:w="120" w:type="dxa"/>
            </w:tcMar>
          </w:tcPr>
          <w:p>
            <w:pPr>
              <w:spacing w:before="0" w:after="0" w:line="252" w:lineRule="auto"/>
            </w:pPr>
            <w:r>
              <w:t>Use Search/Wait when a Missile Flight reaches a candidate location without Firm, spend one whole fuel per stationary search activation, self-destruct safely at zero fuel, and leave a recoverable inert dud only on natural 01.</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D-132</w:t>
            </w:r>
          </w:p>
        </w:tc>
        <w:tc>
          <w:tcPr>
            <w:tcW w:type="dxa" w:w="6192"/>
            <w:vAlign w:val="center"/>
            <w:tcMar>
              <w:top w:w="110" w:type="dxa"/>
              <w:start w:w="120" w:type="dxa"/>
              <w:bottom w:w="110" w:type="dxa"/>
              <w:end w:w="120" w:type="dxa"/>
            </w:tcMar>
          </w:tcPr>
          <w:p>
            <w:pPr>
              <w:spacing w:before="0" w:after="0" w:line="252" w:lineRule="auto"/>
            </w:pPr>
            <w:r>
              <w:t>Give standard PDS finite per-turn Reaction Capacity, beginning at one for low TL, and cap standard defense at two attempts against one Missile Flight in one terminal-defense window.</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D-133</w:t>
            </w:r>
          </w:p>
        </w:tc>
        <w:tc>
          <w:tcPr>
            <w:tcW w:type="dxa" w:w="6192"/>
            <w:vAlign w:val="center"/>
            <w:tcMar>
              <w:top w:w="110" w:type="dxa"/>
              <w:start w:w="120" w:type="dxa"/>
              <w:bottom w:w="110" w:type="dxa"/>
              <w:end w:w="120" w:type="dxa"/>
            </w:tcMar>
          </w:tcPr>
          <w:p>
            <w:pPr>
              <w:spacing w:before="0" w:after="0" w:line="252" w:lineRule="auto"/>
            </w:pPr>
            <w:r>
              <w:t>Automate PDS overload resolution with seeded uniform random selection without replacement, one first-sweep attempt per selected simultaneous threat, then random second attempts against survivors.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D-134</w:t>
            </w:r>
          </w:p>
        </w:tc>
        <w:tc>
          <w:tcPr>
            <w:tcW w:type="dxa" w:w="6192"/>
            <w:vAlign w:val="center"/>
            <w:tcMar>
              <w:top w:w="110" w:type="dxa"/>
              <w:start w:w="120" w:type="dxa"/>
              <w:bottom w:w="110" w:type="dxa"/>
              <w:end w:w="120" w:type="dxa"/>
            </w:tcMar>
          </w:tcPr>
          <w:p>
            <w:pPr>
              <w:spacing w:before="0" w:after="0" w:line="252" w:lineRule="auto"/>
            </w:pPr>
            <w:r>
              <w:t>Require a main direct-fire weapon to be deliberately held for longer-range missile interception; one held opportunity replaces that weapon’s offensive package unless a special capability says otherwise.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D-135</w:t>
            </w:r>
          </w:p>
        </w:tc>
        <w:tc>
          <w:tcPr>
            <w:tcW w:type="dxa" w:w="6192"/>
            <w:vAlign w:val="center"/>
            <w:tcMar>
              <w:top w:w="110" w:type="dxa"/>
              <w:start w:w="120" w:type="dxa"/>
              <w:bottom w:w="110" w:type="dxa"/>
              <w:end w:w="120" w:type="dxa"/>
            </w:tcMar>
          </w:tcPr>
          <w:p>
            <w:pPr>
              <w:spacing w:before="0" w:after="0" w:line="252" w:lineRule="auto"/>
            </w:pPr>
            <w:r>
              <w:t>Apply deterministic packet damage through shields, armor protection/integrity, and hull/internal structure, carrying changed state forward between packages.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D-136</w:t>
            </w:r>
          </w:p>
        </w:tc>
        <w:tc>
          <w:tcPr>
            <w:tcW w:type="dxa" w:w="6192"/>
            <w:vAlign w:val="center"/>
            <w:tcMar>
              <w:top w:w="110" w:type="dxa"/>
              <w:start w:w="120" w:type="dxa"/>
              <w:bottom w:w="110" w:type="dxa"/>
              <w:end w:w="120" w:type="dxa"/>
            </w:tcMar>
          </w:tcPr>
          <w:p>
            <w:pPr>
              <w:spacing w:before="0" w:after="0" w:line="252" w:lineRule="auto"/>
            </w:pPr>
            <w:r>
              <w:t>Use bounded critical effects: natural 01 is an automatic miss without automatic self-damage; natural 100 is an automatic hit plus layer-specific precision, including one seeded internal condition step when hull is reached.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D-137</w:t>
            </w:r>
          </w:p>
        </w:tc>
        <w:tc>
          <w:tcPr>
            <w:tcW w:type="dxa" w:w="6192"/>
            <w:vAlign w:val="center"/>
            <w:tcMar>
              <w:top w:w="110" w:type="dxa"/>
              <w:start w:w="120" w:type="dxa"/>
              <w:bottom w:w="110" w:type="dxa"/>
              <w:end w:w="120" w:type="dxa"/>
            </w:tcMar>
          </w:tcPr>
          <w:p>
            <w:pPr>
              <w:spacing w:before="0" w:after="0" w:line="252" w:lineRule="auto"/>
            </w:pPr>
            <w:r>
              <w:t>Generate a hidden Starfire-inspired internal damage track from hull and installed components. System markers step Operational -&gt; Degraded -&gt; Disabled -&gt; Destroyed; ordinary UI does not reveal exact marker order.</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D-138</w:t>
            </w:r>
          </w:p>
        </w:tc>
        <w:tc>
          <w:tcPr>
            <w:tcW w:type="dxa" w:w="6192"/>
            <w:vAlign w:val="center"/>
            <w:tcMar>
              <w:top w:w="110" w:type="dxa"/>
              <w:start w:w="120" w:type="dxa"/>
              <w:bottom w:w="110" w:type="dxa"/>
              <w:end w:w="120" w:type="dxa"/>
            </w:tcMar>
          </w:tcPr>
          <w:p>
            <w:pPr>
              <w:spacing w:before="0" w:after="0" w:line="252" w:lineRule="auto"/>
            </w:pPr>
            <w:r>
              <w:t>Use only Operational, Disabled, and Destroyed ship combat states. Disabled requires Hull above zero but no persistent offensive or meaningful maneuver/withdrawal chain; Destroyed occurs at Hull zero.</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D-139</w:t>
            </w:r>
          </w:p>
        </w:tc>
        <w:tc>
          <w:tcPr>
            <w:tcW w:type="dxa" w:w="6192"/>
            <w:vAlign w:val="center"/>
            <w:tcMar>
              <w:top w:w="110" w:type="dxa"/>
              <w:start w:w="120" w:type="dxa"/>
              <w:bottom w:w="110" w:type="dxa"/>
              <w:end w:w="120" w:type="dxa"/>
            </w:tcMar>
          </w:tcPr>
          <w:p>
            <w:pPr>
              <w:spacing w:before="0" w:after="0" w:line="252" w:lineRule="auto"/>
            </w:pPr>
            <w:r>
              <w:t>Allow boarding/capture only with a Current/Firm solution and shields lowered, depleted, or bypassed. PDS and other local hazards may remain dangerous on a Disabled ship.</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D-140</w:t>
            </w:r>
          </w:p>
        </w:tc>
        <w:tc>
          <w:tcPr>
            <w:tcW w:type="dxa" w:w="6192"/>
            <w:vAlign w:val="center"/>
            <w:tcMar>
              <w:top w:w="110" w:type="dxa"/>
              <w:start w:w="120" w:type="dxa"/>
              <w:bottom w:w="110" w:type="dxa"/>
              <w:end w:w="120" w:type="dxa"/>
            </w:tcMar>
          </w:tcPr>
          <w:p>
            <w:pPr>
              <w:spacing w:before="0" w:after="0" w:line="252" w:lineRule="auto"/>
            </w:pPr>
            <w:r>
              <w:t>Apply one deterministic destruction-shock condition step to every installed internal component when a ship becomes Destroyed, and preserve component condition for later salvage and research value.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D-141</w:t>
            </w:r>
          </w:p>
        </w:tc>
        <w:tc>
          <w:tcPr>
            <w:tcW w:type="dxa" w:w="6192"/>
            <w:vAlign w:val="center"/>
            <w:tcMar>
              <w:top w:w="110" w:type="dxa"/>
              <w:start w:w="120" w:type="dxa"/>
              <w:bottom w:w="110" w:type="dxa"/>
              <w:end w:w="120" w:type="dxa"/>
            </w:tcMar>
          </w:tcPr>
          <w:p>
            <w:pPr>
              <w:spacing w:before="0" w:after="0" w:line="252" w:lineRule="auto"/>
            </w:pPr>
            <w:r>
              <w:t>Keep one active validation document containing only the current checkpoint procedure and move completed procedures to a tested archive.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D-142</w:t>
            </w:r>
          </w:p>
        </w:tc>
        <w:tc>
          <w:tcPr>
            <w:tcW w:type="dxa" w:w="6192"/>
            <w:vAlign w:val="center"/>
            <w:tcMar>
              <w:top w:w="110" w:type="dxa"/>
              <w:start w:w="120" w:type="dxa"/>
              <w:bottom w:w="110" w:type="dxa"/>
              <w:end w:w="120" w:type="dxa"/>
            </w:tcMar>
          </w:tcPr>
          <w:p>
            <w:pPr>
              <w:spacing w:before="0" w:after="0" w:line="252" w:lineRule="auto"/>
            </w:pPr>
            <w:r>
              <w:t>Provide a dedicated friendly Missile Flight route fixture and a minimum-height, auto-scrolling AUTHORITATIVE DEBUG region for focused Godot validation.</w:t>
            </w:r>
          </w:p>
        </w:tc>
        <w:tc>
          <w:tcPr>
            <w:tcW w:type="dxa" w:w="1872"/>
            <w:vAlign w:val="center"/>
            <w:tcMar>
              <w:top w:w="110" w:type="dxa"/>
              <w:start w:w="120" w:type="dxa"/>
              <w:bottom w:w="110" w:type="dxa"/>
              <w:end w:w="120" w:type="dxa"/>
            </w:tcMar>
          </w:tcPr>
          <w:p>
            <w:pPr>
              <w:spacing w:before="0" w:after="0" w:line="252" w:lineRule="auto"/>
            </w:pPr>
            <w:r>
              <w:t>Implemented presentation/validation correction</w:t>
            </w:r>
          </w:p>
        </w:tc>
      </w:tr>
      <w:tr>
        <w:tc>
          <w:tcPr>
            <w:tcW w:type="dxa" w:w="3331"/>
          </w:tcPr>
          <w:p>
            <w:r>
              <w:t>D-143</w:t>
            </w:r>
          </w:p>
        </w:tc>
        <w:tc>
          <w:tcPr>
            <w:tcW w:type="dxa" w:w="3331"/>
          </w:tcPr>
          <w:p>
            <w:r>
              <w:t>Treat the player ship as a persistent cruiser lineage. Progression comes primarily from Hull TL, component TL, refits, crew, and discoveries rather than escalating from scout to battleship.</w:t>
            </w:r>
          </w:p>
        </w:tc>
        <w:tc>
          <w:tcPr>
            <w:tcW w:type="dxa" w:w="3331"/>
          </w:tcPr>
          <w:p>
            <w:r>
              <w:t>Current direction</w:t>
            </w:r>
          </w:p>
        </w:tc>
      </w:tr>
      <w:tr>
        <w:tc>
          <w:tcPr>
            <w:tcW w:type="dxa" w:w="3331"/>
          </w:tcPr>
          <w:p>
            <w:r>
              <w:t>D-144</w:t>
            </w:r>
          </w:p>
        </w:tc>
        <w:tc>
          <w:tcPr>
            <w:tcW w:type="dxa" w:w="3331"/>
          </w:tcPr>
          <w:p>
            <w:r>
              <w:t>Use Hull TL for bounded installation capacity, compartmentation, stores, and hangar evolution; use Armor TL separately for passive protection and armor-material capability.</w:t>
            </w:r>
          </w:p>
        </w:tc>
        <w:tc>
          <w:tcPr>
            <w:tcW w:type="dxa" w:w="3331"/>
          </w:tcPr>
          <w:p>
            <w:r>
              <w:t>Current direction</w:t>
            </w:r>
          </w:p>
        </w:tc>
      </w:tr>
      <w:tr>
        <w:tc>
          <w:tcPr>
            <w:tcW w:type="dxa" w:w="3331"/>
          </w:tcPr>
          <w:p>
            <w:r>
              <w:t>D-145</w:t>
            </w:r>
          </w:p>
        </w:tc>
        <w:tc>
          <w:tcPr>
            <w:tcW w:type="dxa" w:w="3331"/>
          </w:tcPr>
          <w:p>
            <w:r>
              <w:t>Stagger Hull-TL benefits across levels. A starting cruiser may have 1–2 Weapon Bays and one shuttle; a late cruiser may reach about 4 bays and two shuttles without receiving every benefit at every TL.</w:t>
            </w:r>
          </w:p>
        </w:tc>
        <w:tc>
          <w:tcPr>
            <w:tcW w:type="dxa" w:w="3331"/>
          </w:tcPr>
          <w:p>
            <w:r>
              <w:t>Current direction</w:t>
            </w:r>
          </w:p>
        </w:tc>
      </w:tr>
      <w:tr>
        <w:tc>
          <w:tcPr>
            <w:tcW w:type="dxa" w:w="3331"/>
          </w:tcPr>
          <w:p>
            <w:r>
              <w:t>D-146</w:t>
            </w:r>
          </w:p>
        </w:tc>
        <w:tc>
          <w:tcPr>
            <w:tcW w:type="dxa" w:w="3331"/>
          </w:tcPr>
          <w:p>
            <w: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tcPr>
          <w:p>
            <w:r>
              <w:t>Current direction</w:t>
            </w:r>
          </w:p>
        </w:tc>
      </w:tr>
      <w:tr>
        <w:tc>
          <w:tcPr>
            <w:tcW w:type="dxa" w:w="3331"/>
          </w:tcPr>
          <w:p>
            <w:r>
              <w:t>D-147</w:t>
            </w:r>
          </w:p>
        </w:tc>
        <w:tc>
          <w:tcPr>
            <w:tcW w:type="dxa" w:w="3331"/>
          </w:tcPr>
          <w:p>
            <w:r>
              <w:t>Give each component explicit installation prerequisites and classify the result as Integrated, Adapted, or Incompatible. Avoid universal prohibitions based only on relative TL.</w:t>
            </w:r>
          </w:p>
        </w:tc>
        <w:tc>
          <w:tcPr>
            <w:tcW w:type="dxa" w:w="3331"/>
          </w:tcPr>
          <w:p>
            <w:r>
              <w:t>Current direction</w:t>
            </w:r>
          </w:p>
        </w:tc>
      </w:tr>
      <w:tr>
        <w:tc>
          <w:tcPr>
            <w:tcW w:type="dxa" w:w="3331"/>
          </w:tcPr>
          <w:p>
            <w:r>
              <w:t>D-148</w:t>
            </w:r>
          </w:p>
        </w:tc>
        <w:tc>
          <w:tcPr>
            <w:tcW w:type="dxa" w:w="3331"/>
          </w:tcPr>
          <w:p>
            <w:r>
              <w:t>Allow specific matched Precursor components or interfaces to satisfy explicit missing capability tags. Unrelated alien equipment does not automatically create compatibility.</w:t>
            </w:r>
          </w:p>
        </w:tc>
        <w:tc>
          <w:tcPr>
            <w:tcW w:type="dxa" w:w="3331"/>
          </w:tcPr>
          <w:p>
            <w:r>
              <w:t>Current direction</w:t>
            </w:r>
          </w:p>
        </w:tc>
      </w:tr>
      <w:tr>
        <w:tc>
          <w:tcPr>
            <w:tcW w:type="dxa" w:w="3331"/>
          </w:tcPr>
          <w:p>
            <w:r>
              <w:t>D-149</w:t>
            </w:r>
          </w:p>
        </w:tc>
        <w:tc>
          <w:tcPr>
            <w:tcW w:type="dxa" w:w="3331"/>
          </w:tcPr>
          <w:p>
            <w:r>
              <w:t>Make the campaign an emergent story generator in which exploration, dialogue, decisions, damage, scarcity, aliens, and artifacts combine into a recountable seeded history.</w:t>
            </w:r>
          </w:p>
        </w:tc>
        <w:tc>
          <w:tcPr>
            <w:tcW w:type="dxa" w:w="3331"/>
          </w:tcPr>
          <w:p>
            <w:r>
              <w:t>Current direction</w:t>
            </w:r>
          </w:p>
        </w:tc>
      </w:tr>
      <w:tr>
        <w:tc>
          <w:tcPr>
            <w:tcW w:type="dxa" w:w="3331"/>
          </w:tcPr>
          <w:p>
            <w:r>
              <w:t>D-150</w:t>
            </w:r>
          </w:p>
        </w:tc>
        <w:tc>
          <w:tcPr>
            <w:tcW w:type="dxa" w:w="3331"/>
          </w:tcPr>
          <w:p>
            <w:r>
              <w:t>Use one reactor Tactical Power Capacity for discretionary combat systems while abstracting ordinary core ship power.</w:t>
            </w:r>
          </w:p>
        </w:tc>
        <w:tc>
          <w:tcPr>
            <w:tcW w:type="dxa" w:w="3331"/>
          </w:tcPr>
          <w:p>
            <w:r>
              <w:t>Current direction</w:t>
            </w:r>
          </w:p>
        </w:tc>
      </w:tr>
      <w:tr>
        <w:tc>
          <w:tcPr>
            <w:tcW w:type="dxa" w:w="3331"/>
          </w:tcPr>
          <w:p>
            <w:r>
              <w:t>D-151</w:t>
            </w:r>
          </w:p>
        </w:tc>
        <w:tc>
          <w:tcPr>
            <w:tcW w:type="dxa" w:w="3331"/>
          </w:tcPr>
          <w:p>
            <w:r>
              <w:t>Maintain existing shields through core power; require Tactical Power for shield recharge and explicit powered shield enhancements.</w:t>
            </w:r>
          </w:p>
        </w:tc>
        <w:tc>
          <w:tcPr>
            <w:tcW w:type="dxa" w:w="3331"/>
          </w:tcPr>
          <w:p>
            <w:r>
              <w:t>Current direction</w:t>
            </w:r>
          </w:p>
        </w:tc>
      </w:tr>
      <w:tr>
        <w:tc>
          <w:tcPr>
            <w:tcW w:type="dxa" w:w="3331"/>
          </w:tcPr>
          <w:p>
            <w:r>
              <w:t>D-152</w:t>
            </w:r>
          </w:p>
        </w:tc>
        <w:tc>
          <w:tcPr>
            <w:tcW w:type="dxa" w:w="3331"/>
          </w:tcPr>
          <w:p>
            <w: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tcPr>
          <w:p>
            <w:r>
              <w:t>Current direction</w:t>
            </w:r>
          </w:p>
        </w:tc>
      </w:tr>
      <w:tr>
        <w:tc>
          <w:tcPr>
            <w:tcW w:type="dxa" w:w="3331"/>
          </w:tcPr>
          <w:p>
            <w:r>
              <w:t>D-153</w:t>
            </w:r>
          </w:p>
        </w:tc>
        <w:tc>
          <w:tcPr>
            <w:tcW w:type="dxa" w:w="3331"/>
          </w:tcPr>
          <w:p>
            <w:r>
              <w:t>Systems powered at turn start remain powered through that turn despite later reactor damage. Reactor output and load shedding change at next-turn initialization after Damage Control.</w:t>
            </w:r>
          </w:p>
        </w:tc>
        <w:tc>
          <w:tcPr>
            <w:tcW w:type="dxa" w:w="3331"/>
          </w:tcPr>
          <w:p>
            <w:r>
              <w:t>Current direction</w:t>
            </w:r>
          </w:p>
        </w:tc>
      </w:tr>
      <w:tr>
        <w:tc>
          <w:tcPr>
            <w:tcW w:type="dxa" w:w="3331"/>
          </w:tcPr>
          <w:p>
            <w:r>
              <w:t>D-154</w:t>
            </w:r>
          </w:p>
        </w:tc>
        <w:tc>
          <w:tcPr>
            <w:tcW w:type="dxa" w:w="3331"/>
          </w:tcPr>
          <w:p>
            <w:r>
              <w:t>Apply damage to an operating component immediately for later resolution; Degraded behavior changes and Disabled/Destroyed components cease functioning even though already-fired packages remain committed.</w:t>
            </w:r>
          </w:p>
        </w:tc>
        <w:tc>
          <w:tcPr>
            <w:tcW w:type="dxa" w:w="3331"/>
          </w:tcPr>
          <w:p>
            <w:r>
              <w:t>Current direction</w:t>
            </w:r>
          </w:p>
        </w:tc>
      </w:tr>
      <w:tr>
        <w:tc>
          <w:tcPr>
            <w:tcW w:type="dxa" w:w="3331"/>
          </w:tcPr>
          <w:p>
            <w:r>
              <w:t>D-155</w:t>
            </w:r>
          </w:p>
        </w:tc>
        <w:tc>
          <w:tcPr>
            <w:tcW w:type="dxa" w:w="3331"/>
          </w:tcPr>
          <w:p>
            <w:r>
              <w:t>Support finite Combat Batteries, dedicated Shield Batteries, powered Energized Armor, and risk/reward Shield Booster overcharge as explicit components.</w:t>
            </w:r>
          </w:p>
        </w:tc>
        <w:tc>
          <w:tcPr>
            <w:tcW w:type="dxa" w:w="3331"/>
          </w:tcPr>
          <w:p>
            <w:r>
              <w:t>Current direction</w:t>
            </w:r>
          </w:p>
        </w:tc>
      </w:tr>
      <w:tr>
        <w:tc>
          <w:tcPr>
            <w:tcW w:type="dxa" w:w="3331"/>
          </w:tcPr>
          <w:p>
            <w:r>
              <w:t>D-156</w:t>
            </w:r>
          </w:p>
        </w:tc>
        <w:tc>
          <w:tcPr>
            <w:tcW w:type="dxa" w:w="3331"/>
          </w:tcPr>
          <w:p>
            <w:r>
              <w:t>Allocate finite Damage Control Capacity before repair rolls. Multiple DC may assist one target, but produce one roll and normally no more than one repaired condition step or one Hull.</w:t>
            </w:r>
          </w:p>
        </w:tc>
        <w:tc>
          <w:tcPr>
            <w:tcW w:type="dxa" w:w="3331"/>
          </w:tcPr>
          <w:p>
            <w:r>
              <w:t>Current direction</w:t>
            </w:r>
          </w:p>
        </w:tc>
      </w:tr>
      <w:tr>
        <w:tc>
          <w:tcPr>
            <w:tcW w:type="dxa" w:w="3331"/>
          </w:tcPr>
          <w:p>
            <w:r>
              <w:t>D-157</w:t>
            </w:r>
          </w:p>
        </w:tc>
        <w:tc>
          <w:tcPr>
            <w:tcW w:type="dxa" w:w="3331"/>
          </w:tcPr>
          <w:p>
            <w:r>
              <w:t>Use provisional repair chances of 70% Degraded-to-Operational, 50% Disabled-to-Degraded, and 40% to restore exactly 1 Hull. Each extra assisting DC adds +10 percentage points, provisionally capped at +20.</w:t>
            </w:r>
          </w:p>
        </w:tc>
        <w:tc>
          <w:tcPr>
            <w:tcW w:type="dxa" w:w="3331"/>
          </w:tcPr>
          <w:p>
            <w:r>
              <w:t>Tentative balance baseline</w:t>
            </w:r>
          </w:p>
        </w:tc>
      </w:tr>
      <w:tr>
        <w:tc>
          <w:tcPr>
            <w:tcW w:type="dxa" w:w="3331"/>
          </w:tcPr>
          <w:p>
            <w:r>
              <w:t>D-158</w:t>
            </w:r>
          </w:p>
        </w:tc>
        <w:tc>
          <w:tcPr>
            <w:tcW w:type="dxa" w:w="3331"/>
          </w:tcPr>
          <w:p>
            <w:r>
              <w:t>Use natural 01 and 100 as the only repair criticals. Critical failure may worsen the target; an extra condition-step repair on natural 100 remains provisional.</w:t>
            </w:r>
          </w:p>
        </w:tc>
        <w:tc>
          <w:tcPr>
            <w:tcW w:type="dxa" w:w="3331"/>
          </w:tcPr>
          <w:p>
            <w:r>
              <w:t>Current direction / open tuning</w:t>
            </w:r>
          </w:p>
        </w:tc>
      </w:tr>
      <w:tr>
        <w:tc>
          <w:tcPr>
            <w:tcW w:type="dxa" w:w="3331"/>
          </w:tcPr>
          <w:p>
            <w:r>
              <w:t>D-159</w:t>
            </w:r>
          </w:p>
        </w:tc>
        <w:tc>
          <w:tcPr>
            <w:tcW w:type="dxa" w:w="3331"/>
          </w:tcPr>
          <w:p>
            <w:r>
              <w:t>Require one eligible material unit for every allocated DC point. Repair Supplies are universal, Salvage is improvised, and Minerals, Radioactives, and Advanced Resources support broad matching repair classes.</w:t>
            </w:r>
          </w:p>
        </w:tc>
        <w:tc>
          <w:tcPr>
            <w:tcW w:type="dxa" w:w="3331"/>
          </w:tcPr>
          <w:p>
            <w:r>
              <w:t>Current direction</w:t>
            </w:r>
          </w:p>
        </w:tc>
      </w:tr>
      <w:tr>
        <w:tc>
          <w:tcPr>
            <w:tcW w:type="dxa" w:w="3331"/>
          </w:tcPr>
          <w:p>
            <w:r>
              <w:t>D-160</w:t>
            </w:r>
          </w:p>
        </w:tc>
        <w:tc>
          <w:tcPr>
            <w:tcW w:type="dxa" w:w="3331"/>
          </w:tcPr>
          <w:p>
            <w:r>
              <w:t>Normally require drydock repair for Destroyed components; exceptional field-rebuild systems or technology may permit a difficult Destroyed-to-Disabled repair.</w:t>
            </w:r>
          </w:p>
        </w:tc>
        <w:tc>
          <w:tcPr>
            <w:tcW w:type="dxa" w:w="3331"/>
          </w:tcPr>
          <w:p>
            <w:r>
              <w:t>Current direction</w:t>
            </w:r>
          </w:p>
        </w:tc>
      </w:tr>
      <w:tr>
        <w:tc>
          <w:tcPr>
            <w:tcW w:type="dxa" w:w="3331"/>
          </w:tcPr>
          <w:p>
            <w:r>
              <w:t>D-161</w:t>
            </w:r>
          </w:p>
        </w:tc>
        <w:tc>
          <w:tcPr>
            <w:tcW w:type="dxa" w:w="3331"/>
          </w:tcPr>
          <w:p>
            <w:r>
              <w:t>Treat projectile ammunition as attack packages, missiles as Missile Flights, and batteries as charges; spend them when an action is committed.</w:t>
            </w:r>
          </w:p>
        </w:tc>
        <w:tc>
          <w:tcPr>
            <w:tcW w:type="dxa" w:w="3331"/>
          </w:tcPr>
          <w:p>
            <w:r>
              <w:t>Current direction</w:t>
            </w:r>
          </w:p>
        </w:tc>
      </w:tr>
      <w:tr>
        <w:tc>
          <w:tcPr>
            <w:tcW w:type="dxa" w:w="3331"/>
          </w:tcPr>
          <w:p>
            <w:r>
              <w:t>D-162</w:t>
            </w:r>
          </w:p>
        </w:tc>
        <w:tc>
          <w:tcPr>
            <w:tcW w:type="dxa" w:w="3331"/>
          </w:tcPr>
          <w:p>
            <w:r>
              <w:t>Give compatible ammunition-fed weapons one Ready Package and automatic reload from a shared magazine. Specific weapons may have an Internal Magazine trait.</w:t>
            </w:r>
          </w:p>
        </w:tc>
        <w:tc>
          <w:tcPr>
            <w:tcW w:type="dxa" w:w="3331"/>
          </w:tcPr>
          <w:p>
            <w:r>
              <w:t>Current direction</w:t>
            </w:r>
          </w:p>
        </w:tc>
      </w:tr>
      <w:tr>
        <w:tc>
          <w:tcPr>
            <w:tcW w:type="dxa" w:w="3331"/>
          </w:tcPr>
          <w:p>
            <w:r>
              <w:t>D-163</w:t>
            </w:r>
          </w:p>
        </w:tc>
        <w:tc>
          <w:tcPr>
            <w:tcW w:type="dxa" w:w="3331"/>
          </w:tcPr>
          <w:p>
            <w:r>
              <w:t>Use broad Kinetic, Missile, Special Weapons, and Auxiliary/PDS magazine families instead of one magazine per weapon bay.</w:t>
            </w:r>
          </w:p>
        </w:tc>
        <w:tc>
          <w:tcPr>
            <w:tcW w:type="dxa" w:w="3331"/>
          </w:tcPr>
          <w:p>
            <w:r>
              <w:t>Current direction</w:t>
            </w:r>
          </w:p>
        </w:tc>
      </w:tr>
      <w:tr>
        <w:tc>
          <w:tcPr>
            <w:tcW w:type="dxa" w:w="3331"/>
          </w:tcPr>
          <w:p>
            <w:r>
              <w:t>D-164</w:t>
            </w:r>
          </w:p>
        </w:tc>
        <w:tc>
          <w:tcPr>
            <w:tcW w:type="dxa" w:w="3331"/>
          </w:tcPr>
          <w:p>
            <w:r>
              <w:t>Individualize major internal systems such as each weapon battery, shield generator, reactor, and main drive; group smaller Sensors/EW, Computing/Communications, and Auxiliary/Utility components for seeded selection.</w:t>
            </w:r>
          </w:p>
        </w:tc>
        <w:tc>
          <w:tcPr>
            <w:tcW w:type="dxa" w:w="3331"/>
          </w:tcPr>
          <w:p>
            <w:r>
              <w:t>Current direction</w:t>
            </w:r>
          </w:p>
        </w:tc>
      </w:tr>
      <w:tr>
        <w:tc>
          <w:tcPr>
            <w:tcW w:type="dxa" w:w="3331"/>
          </w:tcPr>
          <w:p>
            <w:r>
              <w:t>D-165</w:t>
            </w:r>
          </w:p>
        </w:tc>
        <w:tc>
          <w:tcPr>
            <w:tcW w:type="dxa" w:w="3331"/>
          </w:tcPr>
          <w:p>
            <w:r>
              <w:t>Do not let component count automatically increase hidden-track marker density or Hull length. Balance internal exposure through bounded groups, weighting, and representative-ship testing.</w:t>
            </w:r>
          </w:p>
        </w:tc>
        <w:tc>
          <w:tcPr>
            <w:tcW w:type="dxa" w:w="3331"/>
          </w:tcPr>
          <w:p>
            <w:r>
              <w:t>Current direction</w:t>
            </w:r>
          </w:p>
        </w:tc>
      </w:tr>
      <w:tr>
        <w:tc>
          <w:tcPr>
            <w:tcW w:type="dxa" w:w="3331"/>
          </w:tcPr>
          <w:p>
            <w:r>
              <w:t>D-166</w:t>
            </w:r>
          </w:p>
        </w:tc>
        <w:tc>
          <w:tcPr>
            <w:tcW w:type="dxa" w:w="3331"/>
          </w:tcPr>
          <w:p>
            <w:r>
              <w:t>Show a friendly Missile Flight future plan only when selected, using a dashed targeting/guidance line; keep historical trails selected-only and remove misleading solid future-plan lines.</w:t>
            </w:r>
          </w:p>
        </w:tc>
        <w:tc>
          <w:tcPr>
            <w:tcW w:type="dxa" w:w="3331"/>
          </w:tcPr>
          <w:p>
            <w:r>
              <w:t>Implemented presentation correction</w:t>
            </w:r>
          </w:p>
        </w:tc>
      </w:tr>
      <w:tr>
        <w:tc>
          <w:tcPr>
            <w:tcW w:type="dxa" w:w="3331"/>
          </w:tcPr>
          <w:p>
            <w:r>
              <w:t>D-167</w:t>
            </w:r>
          </w:p>
        </w:tc>
        <w:tc>
          <w:tcPr>
            <w:tcW w:type="dxa" w:w="3331"/>
          </w:tcPr>
          <w:p>
            <w:r>
              <w:t>Preserve external design references under docs/references in complete handoff checkpoints; references inform design but never override the current Concept and Decision Register.</w:t>
            </w:r>
          </w:p>
        </w:tc>
        <w:tc>
          <w:tcPr>
            <w:tcW w:type="dxa" w:w="3331"/>
          </w:tcPr>
          <w:p>
            <w:r>
              <w:t>Implemented documentation guardrail</w:t>
            </w:r>
          </w:p>
        </w:tc>
      </w:tr>
      <w:tr>
        <w:tc>
          <w:tcPr>
            <w:tcW w:type="dxa" w:w="3331"/>
            <w:shd w:fill="F7F9FA"/>
          </w:tcPr>
          <w:p>
            <w:pPr>
              <w:spacing w:after="0" w:before="0"/>
            </w:pPr>
            <w:r/>
            <w:r>
              <w:rPr>
                <w:rFonts w:ascii="Aptos" w:hAnsi="Aptos"/>
                <w:b/>
                <w:color w:val="14263D"/>
                <w:sz w:val="17"/>
              </w:rPr>
              <w:t>D-168</w:t>
            </w:r>
          </w:p>
        </w:tc>
        <w:tc>
          <w:tcPr>
            <w:tcW w:type="dxa" w:w="3331"/>
            <w:shd w:fill="F7F9FA"/>
          </w:tcPr>
          <w:p>
            <w:pPr>
              <w:spacing w:after="0" w:before="0"/>
            </w:pPr>
            <w:r/>
            <w:r>
              <w:rPr>
                <w:rFonts w:ascii="Aptos" w:hAnsi="Aptos"/>
                <w:b w:val="0"/>
                <w:color w:val="24313D"/>
                <w:sz w:val="17"/>
              </w:rPr>
              <w:t>Treat target-hex co-location as a terminal opportunity, not an automatic impact; a tactical hex remains a very large volume of space.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D-169</w:t>
            </w:r>
          </w:p>
        </w:tc>
        <w:tc>
          <w:tcPr>
            <w:tcW w:type="dxa" w:w="3331"/>
            <w:shd w:fill="FFFFFF"/>
          </w:tcPr>
          <w:p>
            <w:pPr>
              <w:spacing w:after="0" w:before="0"/>
            </w:pPr>
            <w:r/>
            <w:r>
              <w:rPr>
                <w:rFonts w:ascii="Aptos" w:hAnsi="Aptos"/>
                <w:b w:val="0"/>
                <w:color w:val="24313D"/>
                <w:sz w:val="17"/>
              </w:rPr>
              <w:t>Give standard PDS two distinct terminal windows against one Missile Flight: one on target-hex entry and one immediately before the terminal attack roll, with one PDS attempt per defending ship in each window.</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D-170</w:t>
            </w:r>
          </w:p>
        </w:tc>
        <w:tc>
          <w:tcPr>
            <w:tcW w:type="dxa" w:w="3331"/>
            <w:shd w:fill="F7F9FA"/>
          </w:tcPr>
          <w:p>
            <w:pPr>
              <w:spacing w:after="0" w:before="0"/>
            </w:pPr>
            <w:r/>
            <w:r>
              <w:rPr>
                <w:rFonts w:ascii="Aptos" w:hAnsi="Aptos"/>
                <w:b w:val="0"/>
                <w:color w:val="24313D"/>
                <w:sz w:val="17"/>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D-171</w:t>
            </w:r>
          </w:p>
        </w:tc>
        <w:tc>
          <w:tcPr>
            <w:tcW w:type="dxa" w:w="3331"/>
            <w:shd w:fill="FFFFFF"/>
          </w:tcPr>
          <w:p>
            <w:pPr>
              <w:spacing w:after="0" w:before="0"/>
            </w:pPr>
            <w:r/>
            <w:r>
              <w:rPr>
                <w:rFonts w:ascii="Aptos" w:hAnsi="Aptos"/>
                <w:b w:val="0"/>
                <w:color w:val="24313D"/>
                <w:sz w:val="17"/>
              </w:rPr>
              <w:t>Use the optional seeker only as a co-located acquisition/ECCM and accuracy aid; it does not own a separate cruise track or replace the Guidance Computer.</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D-172</w:t>
            </w:r>
          </w:p>
        </w:tc>
        <w:tc>
          <w:tcPr>
            <w:tcW w:type="dxa" w:w="3331"/>
            <w:shd w:fill="F7F9FA"/>
          </w:tcPr>
          <w:p>
            <w:pPr>
              <w:spacing w:after="0" w:before="0"/>
            </w:pPr>
            <w:r/>
            <w:r>
              <w:rPr>
                <w:rFonts w:ascii="Aptos" w:hAnsi="Aptos"/>
                <w:b w:val="0"/>
                <w:color w:val="24313D"/>
                <w:sz w:val="17"/>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D-173</w:t>
            </w:r>
          </w:p>
        </w:tc>
        <w:tc>
          <w:tcPr>
            <w:tcW w:type="dxa" w:w="3331"/>
            <w:shd w:fill="FFFFFF"/>
          </w:tcPr>
          <w:p>
            <w:pPr>
              <w:spacing w:after="0" w:before="0"/>
            </w:pPr>
            <w:r/>
            <w:r>
              <w:rPr>
                <w:rFonts w:ascii="Aptos" w:hAnsi="Aptos"/>
                <w:b w:val="0"/>
                <w:color w:val="24313D"/>
                <w:sz w:val="17"/>
              </w:rPr>
              <w:t>Record terminal interception, acquisition failure, dud, miss, hit, critical hit, and self-destruction as distinct authoritative outcomes. Natural 01 is a recoverable dud and natural 100 is a critical hit for later damage resolution.</w:t>
            </w:r>
          </w:p>
        </w:tc>
        <w:tc>
          <w:tcPr>
            <w:tcW w:type="dxa" w:w="3331"/>
            <w:shd w:fill="FFFFFF"/>
          </w:tcPr>
          <w:p>
            <w:pPr>
              <w:spacing w:after="0" w:before="0"/>
            </w:pPr>
            <w:r/>
            <w:r>
              <w:rPr>
                <w:rFonts w:ascii="Aptos" w:hAnsi="Aptos"/>
                <w:b w:val="0"/>
                <w:color w:val="24313D"/>
                <w:sz w:val="17"/>
              </w:rPr>
              <w:t>Implemented current direction</w:t>
            </w:r>
          </w:p>
        </w:tc>
      </w:tr>
      <w:tr>
        <w:trPr>
          <w:cantSplit/>
        </w:trPr>
        <w:tc>
          <w:tcPr>
            <w:tcW w:type="dxa" w:w="3331"/>
            <w:vAlign w:val="center"/>
          </w:tcPr>
          <w:p>
            <w:r>
              <w:t>D-174</w:t>
            </w:r>
          </w:p>
        </w:tc>
        <w:tc>
          <w:tcPr>
            <w:tcW w:type="dxa" w:w="3331"/>
            <w:vAlign w:val="center"/>
          </w:tcPr>
          <w:p>
            <w:r>
              <w:t>Use one player-visible Propulsion TL with separate FTL and STL component families, independent stats, and legal mixed Item TLs.</w:t>
            </w:r>
          </w:p>
        </w:tc>
        <w:tc>
          <w:tcPr>
            <w:tcW w:type="dxa" w:w="3331"/>
            <w:vAlign w:val="center"/>
          </w:tcPr>
          <w:p>
            <w:r>
              <w:t>Current direction</w:t>
            </w:r>
          </w:p>
        </w:tc>
      </w:tr>
      <w:tr>
        <w:trPr>
          <w:cantSplit/>
        </w:trPr>
        <w:tc>
          <w:tcPr>
            <w:tcW w:type="dxa" w:w="3331"/>
            <w:vAlign w:val="center"/>
          </w:tcPr>
          <w:p>
            <w:r>
              <w:t>D-175</w:t>
            </w:r>
          </w:p>
        </w:tc>
        <w:tc>
          <w:tcPr>
            <w:tcW w:type="dxa" w:w="3331"/>
            <w:vAlign w:val="center"/>
          </w:tcPr>
          <w:p>
            <w:r>
              <w:t>Do not require player technology categories to advance in lockstep.</w:t>
            </w:r>
          </w:p>
        </w:tc>
        <w:tc>
          <w:tcPr>
            <w:tcW w:type="dxa" w:w="3331"/>
            <w:vAlign w:val="center"/>
          </w:tcPr>
          <w:p>
            <w:r>
              <w:t>Current direction</w:t>
            </w:r>
          </w:p>
        </w:tc>
      </w:tr>
      <w:tr>
        <w:trPr>
          <w:cantSplit/>
        </w:trPr>
        <w:tc>
          <w:tcPr>
            <w:tcW w:type="dxa" w:w="3331"/>
            <w:vAlign w:val="center"/>
          </w:tcPr>
          <w:p>
            <w:r>
              <w:t>D-176</w:t>
            </w:r>
          </w:p>
        </w:tc>
        <w:tc>
          <w:tcPr>
            <w:tcW w:type="dxa" w:w="3331"/>
            <w:vAlign w:val="center"/>
          </w:tcPr>
          <w:p>
            <w:r>
              <w:t>Use small item/family-specific support relationships, normally no more than two related technology categories, instead of a universal equal-TL rule.</w:t>
            </w:r>
          </w:p>
        </w:tc>
        <w:tc>
          <w:tcPr>
            <w:tcW w:type="dxa" w:w="3331"/>
            <w:vAlign w:val="center"/>
          </w:tcPr>
          <w:p>
            <w:r>
              <w:t>Current direction</w:t>
            </w:r>
          </w:p>
        </w:tc>
      </w:tr>
      <w:tr>
        <w:trPr>
          <w:cantSplit/>
        </w:trPr>
        <w:tc>
          <w:tcPr>
            <w:tcW w:type="dxa" w:w="3331"/>
            <w:vAlign w:val="center"/>
          </w:tcPr>
          <w:p>
            <w:r>
              <w:t>D-177</w:t>
            </w:r>
          </w:p>
        </w:tc>
        <w:tc>
          <w:tcPr>
            <w:tcW w:type="dxa" w:w="3331"/>
            <w:vAlign w:val="center"/>
          </w:tcPr>
          <w:p>
            <w:r>
              <w:t>Reserve visible Adaptation Strain for meaningful stress events; warn before failure and use condition-step consequences rather than rolling on every activation.</w:t>
            </w:r>
          </w:p>
        </w:tc>
        <w:tc>
          <w:tcPr>
            <w:tcW w:type="dxa" w:w="3331"/>
            <w:vAlign w:val="center"/>
          </w:tcPr>
          <w:p>
            <w:r>
              <w:t>Current direction; runtime deferred</w:t>
            </w:r>
          </w:p>
        </w:tc>
      </w:tr>
      <w:tr>
        <w:trPr>
          <w:cantSplit/>
        </w:trPr>
        <w:tc>
          <w:tcPr>
            <w:tcW w:type="dxa" w:w="3331"/>
            <w:vAlign w:val="center"/>
          </w:tcPr>
          <w:p>
            <w:r>
              <w:t>D-178</w:t>
            </w:r>
          </w:p>
        </w:tc>
        <w:tc>
          <w:tcPr>
            <w:tcW w:type="dxa" w:w="3331"/>
            <w:vAlign w:val="center"/>
          </w:tcPr>
          <w:p>
            <w:r>
              <w:t>Allow bounded Chief Engineer support to bridge limited 1-2 TL shortfalls, reduce strain, or create one temporary jury-rig, but never bypass hard physical or non-emulatable requirements.</w:t>
            </w:r>
          </w:p>
        </w:tc>
        <w:tc>
          <w:tcPr>
            <w:tcW w:type="dxa" w:w="3331"/>
            <w:vAlign w:val="center"/>
          </w:tcPr>
          <w:p>
            <w:r>
              <w:t>Current direction; exact limits deferred</w:t>
            </w:r>
          </w:p>
        </w:tc>
      </w:tr>
      <w:tr>
        <w:trPr>
          <w:cantSplit/>
        </w:trPr>
        <w:tc>
          <w:tcPr>
            <w:tcW w:type="dxa" w:w="3331"/>
            <w:vAlign w:val="center"/>
          </w:tcPr>
          <w:p>
            <w:r>
              <w:t>D-179</w:t>
            </w:r>
          </w:p>
        </w:tc>
        <w:tc>
          <w:tcPr>
            <w:tcW w:type="dxa" w:w="3331"/>
            <w:vAlign w:val="center"/>
          </w:tcPr>
          <w:p>
            <w:r>
              <w:t>Provide named standard player components at every TL with stable machine IDs; display names remain intentional drafts and must match eventual mechanics.</w:t>
            </w:r>
          </w:p>
        </w:tc>
        <w:tc>
          <w:tcPr>
            <w:tcW w:type="dxa" w:w="3331"/>
            <w:vAlign w:val="center"/>
          </w:tcPr>
          <w:p>
            <w:r>
              <w:t>Current direction</w:t>
            </w:r>
          </w:p>
        </w:tc>
      </w:tr>
      <w:tr>
        <w:trPr>
          <w:cantSplit/>
        </w:trPr>
        <w:tc>
          <w:tcPr>
            <w:tcW w:type="dxa" w:w="3331"/>
            <w:vAlign w:val="center"/>
          </w:tcPr>
          <w:p>
            <w:r>
              <w:t>D-180</w:t>
            </w:r>
          </w:p>
        </w:tc>
        <w:tc>
          <w:tcPr>
            <w:tcW w:type="dxa" w:w="3331"/>
            <w:vAlign w:val="center"/>
          </w:tcPr>
          <w:p>
            <w: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tcPr>
          <w:p>
            <w:r>
              <w:t>Current direction / documentation guardrail</w:t>
            </w:r>
          </w:p>
        </w:tc>
      </w:tr>
      <w:tr>
        <w:trPr>
          <w:cantSplit/>
        </w:trPr>
        <w:tc>
          <w:tcPr>
            <w:tcW w:type="dxa" w:w="3331"/>
            <w:vAlign w:val="center"/>
          </w:tcPr>
          <w:p>
            <w:r>
              <w:t>D-181</w:t>
            </w:r>
          </w:p>
        </w:tc>
        <w:tc>
          <w:tcPr>
            <w:tcW w:type="dxa" w:w="3331"/>
            <w:vAlign w:val="center"/>
          </w:tcPr>
          <w:p>
            <w:r>
              <w:t>Calibrate matched-TL reference cruisers first, then deliberately test mixed-TL ships and adapted installations before promoting values.</w:t>
            </w:r>
          </w:p>
        </w:tc>
        <w:tc>
          <w:tcPr>
            <w:tcW w:type="dxa" w:w="3331"/>
            <w:vAlign w:val="center"/>
          </w:tcPr>
          <w:p>
            <w:r>
              <w:t>Current direction</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structural-architecture level that governs bounded cruiser installation capacity, compartmentation, stores, hangar capacity, and integration without changing the ship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reactor-provided pool allocated at turn start to discretionary weapons, active defenses, ECM, active sensors, PDS, recharge, and special systems.</w:t>
            </w:r>
          </w:p>
        </w:tc>
      </w:tr>
      <w:tr>
        <w:tc>
          <w:tcPr>
            <w:tcW w:type="dxa" w:w="4997"/>
          </w:tcPr>
          <w:p>
            <w:r>
              <w:t>Core power</w:t>
            </w:r>
          </w:p>
        </w:tc>
        <w:tc>
          <w:tcPr>
            <w:tcW w:type="dxa" w:w="4997"/>
          </w:tcPr>
          <w:p>
            <w:r>
              <w:t>Abstracted ordinary ship power covering life support, controls, routine functions, passive sensing, communications,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flexible Tactical Power for a turn.</w:t>
            </w:r>
          </w:p>
        </w:tc>
      </w:tr>
      <w:tr>
        <w:tc>
          <w:tcPr>
            <w:tcW w:type="dxa" w:w="4997"/>
          </w:tcPr>
          <w:p>
            <w:r>
              <w:t>Shield Battery</w:t>
            </w:r>
          </w:p>
        </w:tc>
        <w:tc>
          <w:tcPr>
            <w:tcW w:type="dxa" w:w="4997"/>
          </w:tcPr>
          <w:p>
            <w:r>
              <w:t>A finite dedicated energy reserve used for shield recharge or an explicitly defined emergency shield effect.</w:t>
            </w:r>
          </w:p>
        </w:tc>
      </w:tr>
      <w:tr>
        <w:tc>
          <w:tcPr>
            <w:tcW w:type="dxa" w:w="4997"/>
          </w:tcPr>
          <w:p>
            <w:r>
              <w:t>Energized Armor</w:t>
            </w:r>
          </w:p>
        </w:tc>
        <w:tc>
          <w:tcPr>
            <w:tcW w:type="dxa" w:w="4997"/>
          </w:tcPr>
          <w:p>
            <w:r>
              <w:t>Armor that retains passive protection when unpowered and gains additional Armor Protection while Tactical Power is reserved.</w:t>
            </w:r>
          </w:p>
        </w:tc>
      </w:tr>
      <w:tr>
        <w:tc>
          <w:tcPr>
            <w:tcW w:type="dxa" w:w="4997"/>
          </w:tcPr>
          <w:p>
            <w:r>
              <w:t>Shield Booster</w:t>
            </w:r>
          </w:p>
        </w:tc>
        <w:tc>
          <w:tcPr>
            <w:tcW w:type="dxa" w:w="4997"/>
          </w:tcPr>
          <w:p>
            <w:r>
              <w:t>A support component that improves shield recharge and may offer a higher-risk Overcharge mode.</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bl>
    <w:p>
      <w:pPr>
        <w:spacing w:after="20"/>
        <w:keepNext/>
        <w:widowControl w:val="1"/>
      </w:pPr>
    </w:p>
    <w:p>
      <w:pPr>
        <w:spacing w:before="240" w:after="80"/>
        <w:jc w:val="center"/>
        <w:keepNext/>
        <w:keepLines/>
        <w:pageBreakBefore w:val="0"/>
        <w:widowControl w:val="1"/>
      </w:pPr>
      <w:r>
        <w:t>END OF DRAFT v0.3t</w:t>
      </w:r>
    </w:p>
    <w:p>
      <w:pPr>
        <w:spacing w:before="0" w:after="0"/>
        <w:jc w:val="center"/>
        <w:keepNext w:val="0"/>
        <w:keepLines/>
        <w:pageBreakBefore w:val="0"/>
        <w:widowControl w:val="1"/>
      </w:pPr>
      <w:r>
        <w:t>Next: review the Checkpoint 23 names and reference reconciliation, define foundational technology fields and TL 1/3/5/7/9 anchors, build matched and mixed-TL reference cruisers, and then perform independent Missile Flight subsystem decomposition before cross-subsystem calibration.</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v0.3t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v0.3s</dc:title>
  <dc:subject>Unified missile terminal solutions, search, seeker assistance, and two-window point defense</dc:subject>
  <dc:creator>OpenAI and project owner</dc:creator>
  <cp:keywords>Godot, C#, .NET 8, roguelike, starship, strategy, game design, missiles, terminal guidance, point defense</cp:keywords>
  <dc:description>Living design reference updated for Checkpoint 18.</dc:description>
  <cp:lastModifiedBy/>
  <cp:revision>1</cp:revision>
  <dcterms:created xsi:type="dcterms:W3CDTF">2013-12-23T23:15:00Z</dcterms:created>
  <dcterms:modified xsi:type="dcterms:W3CDTF">2026-07-28T00:00:00Z</dcterms:modified>
  <cp:category/>
</cp:coreProperties>
</file>