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0.4i  •  August 4,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4,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Validate the provisional 33 1/3% ordinary H/X density against the retained 25% comparison in integrated combat-pacing scenarios, then revisit it as higher-TL lethality and mission-kill behavior are added.</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keepNext w:val="0"/>
        <w:keepLines/>
        <w:spacing w:before="160" w:after="0"/>
        <w:jc w:val="center"/>
      </w:pPr>
      <w:r>
        <w:t>END OF DRAFT v0.4l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v0.4l</dc:title>
  <dc:subject>Checkpoint 39 TL-scaled movement, kinetic damage, and engagement termination</dc:subject>
  <dc:creator>OpenAI and project owner</dc:creator>
  <cp:keywords>Godot, C#, .NET 8, roguelike, starship, strategy, game design, missiles, terminal guidance, point defense</cp:keywords>
  <dc:description>Living Star Cluster concept updated through Checkpoint 39.</dc:description>
  <cp:lastModifiedBy/>
  <cp:revision>1</cp:revision>
  <dcterms:created xsi:type="dcterms:W3CDTF">2013-12-23T23:15:00Z</dcterms:created>
  <dcterms:modified xsi:type="dcterms:W3CDTF">2026-08-04T13:45:00Z</dcterms:modified>
  <cp:category/>
  <cp:version>0.4i</cp:version>
</cp:coreProperties>
</file>