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0.4o  •  August 5,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0.4o</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Checkpoint 46 TL2 dynamic weapon-choice confirmation</w:t>
      </w:r>
    </w:p>
    <w:p>
      <w:pPr/>
      <w:r>
        <w:t>Checkpoint 45a established Armor Step plus Conservative Direct Fire as the leading provisional TL2 profile and Hull Step plus Conservative Direct Fire as the structural control. Checkpoint 46 tests whether their Kinetic, Energy, and Missile families remain credible same-TL choices under dynamic range control. Neither profile is production data.</w:t>
      </w:r>
    </w:p>
    <w:p>
      <w:pPr>
        <w:pStyle w:val="Heading3"/>
      </w:pPr>
      <w:r>
        <w:t>Dynamic family-role study</w:t>
      </w:r>
    </w:p>
    <w:p>
      <w:pPr>
        <w:pStyle w:val="ListBullet"/>
      </w:pPr>
      <w:r>
        <w:t>Every unordered family pair runs in both side orientations. Preferred Range combat begins at ranges 1 through 6, allowing Kinetic to attempt to close while Energy and Missile attempt to preserve their established middle- and standoff-range doctrines.</w:t>
      </w:r>
    </w:p>
    <w:p>
      <w:pPr>
        <w:pStyle w:val="ListBullet"/>
      </w:pPr>
      <w:r>
        <w:t>Fixed ranges 2 through 4 remain separate mutual-envelope controls. They describe close-to-middle combat when both families can threaten, but they do not by themselves determine whether a weapon is a credible overall tactical choice.</w:t>
      </w:r>
    </w:p>
    <w:p>
      <w:pPr>
        <w:pStyle w:val="Heading3"/>
      </w:pPr>
      <w:r>
        <w:t>Choice viability rather than parity</w:t>
      </w:r>
    </w:p>
    <w:p>
      <w:pPr>
        <w:pStyle w:val="ListBullet"/>
      </w:pPr>
      <w:r>
        <w:t>The study pools actual trial outcomes and reports decisive coverage, starting-range sensitivity, orientation effects, and family role expression. A strong advantage at one range is acceptable when the opponent has credible ranges, counters, costs, or later-TL progression.</w:t>
      </w:r>
    </w:p>
    <w:p>
      <w:pPr>
        <w:pStyle w:val="ListBullet"/>
      </w:pPr>
      <w:r>
        <w:t>Broad dominance and irrelevance are review signals rather than automatic failures. Exact parity is not required, and no family characteristic should be moved toward a competitor merely to equalize percentages.</w:t>
      </w:r>
    </w:p>
    <w:p>
      <w:pPr>
        <w:pStyle w:val="Heading3"/>
      </w:pPr>
      <w:r>
        <w:t>Decision boundary</w:t>
      </w:r>
    </w:p>
    <w:p>
      <w:pPr/>
      <w:r>
        <w:t>If the leading profile preserves meaningful choices, it may become the provisional TL2 reference for later AUX performance screening. If a family remains compulsory across realistic tactical conditions, adjust family-consistent characteristics, operational costs, counters, or technology placement instead of erasing its identity.</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After the core TL2 package is stable, run isolated and integrated AUX studies before promoting any candidate floor. Report capacity opportunity cost, power or finite-store burden, counters, stacking, pacing, and compulsory-choice risk; move overpowered components to a later starting TL before rewriting their established mechanics.</w:t>
      </w:r>
    </w:p>
    <w:p>
      <w:pPr>
        <w:pStyle w:val="ListBullet"/>
      </w:pPr>
      <w:r>
        <w:t>Run and assess the Checkpoint 46 dynamic weapon-choice stage. Review starting-range, pooled pairwise, role-expression, orientation, and fixed mutual-envelope evidence together. Adopt no TL2 reference merely because one aggregate percentage is closest to parity.</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r>
        <w:t>D-419: Accept Checkpoint 45a as the native validation baseline. Use Armor Step plus Conservative Direct Fire as the leading provisional TL2 reference and Hull Step plus Conservative Direct Fire as the structural control; neither is production data.</w:t>
      </w:r>
    </w:p>
    <w:p>
      <w:pPr/>
      <w:r>
        <w:t>D-420: Require dynamic same-TL cross-family confirmation before promoting a TL2 reference package. Fixed close-combat dominance alone does not establish compulsory overall choice.</w:t>
      </w:r>
    </w:p>
    <w:p>
      <w:pPr/>
      <w:r>
        <w:t>D-421: Preserve the established Preferred Range doctrines: Kinetic attempts to close, Energy seeks a middle engagement band, and Missile seeks standoff range.</w:t>
      </w:r>
    </w:p>
    <w:p>
      <w:pPr/>
      <w:r>
        <w:t>D-422: Test every unordered weapon-family pair in both orientations from starting ranges 1 through 6 with paired random streams.</w:t>
      </w:r>
    </w:p>
    <w:p>
      <w:pPr/>
      <w:r>
        <w:t>D-423: Retain fixed ranges 2 through 4 as separate mutual-envelope controls. Use them as close-to-middle combat diagnostics rather than general balance gates.</w:t>
      </w:r>
    </w:p>
    <w:p>
      <w:pPr/>
      <w:r>
        <w:t>D-424: Report pooled actual outcomes, decisive-trial coverage, starting-range sensitivity, family role expression, and orientation effects. Do not let low-decision lanes dominate an aggregate percentage.</w:t>
      </w:r>
    </w:p>
    <w:p>
      <w:pPr/>
      <w:r>
        <w:t>D-425: Do not require exact Kinetic, Energy, and Missile parity. Range-defined and era-specific advantages are acceptable when alternatives remain meaningful choices.</w:t>
      </w:r>
    </w:p>
    <w:p>
      <w:pPr/>
      <w:r>
        <w:t>D-426: Treat a pooled share above 75 percent across at least four starting ranges as a broad-dominance warning, and treat a family with no credible starting range as an irrelevance warning. These signals remain non-blocking.</w:t>
      </w:r>
    </w:p>
    <w:p>
      <w:pPr/>
      <w:r>
        <w:t>D-427: If dynamic evidence identifies a compulsory weapon choice, adjust family-consistent characteristics, operating costs, counters, limitations, or TL progression. Do not converge the weapon families toward identical behavior.</w:t>
      </w:r>
    </w:p>
    <w:p>
      <w:pPr/>
      <w:r>
        <w:t>D-428: Checkpoint 46 promotes no profile or weapon value automatically. After native assessment, either adopt the leading profile as the provisional TL2 reference or perform a narrowly targeted family-consistent refinement.</w:t>
      </w:r>
    </w:p>
    <w:p>
      <w:pPr>
        <w:keepNext w:val="0"/>
        <w:keepLines/>
        <w:spacing w:before="80" w:after="0"/>
        <w:jc w:val="center"/>
      </w:pPr>
      <w:r>
        <w:t>END OF DRAFT v0.4s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v0.4p</dc:title>
  <dc:subject>Checkpoint 43 Auxiliary Component Foundation and Availability Gating</dc:subject>
  <dc:creator>OpenAI and project owner</dc:creator>
  <cp:keywords>Godot, C#, .NET 8, roguelike, starship, strategy, game design, missiles, terminal guidance, point defense</cp:keywords>
  <dc:description>Star Cluster Game Concept and Design Draft v0.4s</dc:description>
  <cp:lastModifiedBy/>
  <cp:revision>1</cp:revision>
  <dcterms:created xsi:type="dcterms:W3CDTF">2013-12-23T23:15:00Z</dcterms:created>
  <dcterms:modified xsi:type="dcterms:W3CDTF">2026-08-04T13:45:00Z</dcterms:modified>
  <cp:category/>
  <cp:version>0.4n</cp:version>
</cp:coreProperties>
</file>