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0.4u  •  August 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0.4u</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47 opponent-aware range-control stage. Compare the retained family-only policy with opponent-aware decisions, inspect requested-range telemetry, and make the TL2 promotion decision from game feel and meaningful-choice evidence rather than exact parity.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jc w:val="center"/>
      </w:pPr>
      <w:r>
        <w:t>END OF DRAFT v0.4u</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and Design Draft v0.4u</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