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rFonts w:ascii="Aptos" w:hAnsi="Aptos"/>
                <w:b w:val="0"/>
                <w:i w:val="0"/>
                <w:color w:val="B8C7D3"/>
                <w:sz w:val="20"/>
              </w:rPr>
              <w:t>Version 0.6a  •  August 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0.6a</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Concept reconciliation before subsystem TL-tree definition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r>
              <w:rPr>
                <w:b w:val="0"/>
              </w:rPr>
              <w:t>One bounded cruiser-wide Installation Space budget shared by installed weapons, reactors, defenses, computers, sensors, PDS, and support systems; exact TL1 total remains to be set</w:t>
            </w:r>
          </w:p>
        </w:tc>
      </w:tr>
      <w:tr>
        <w:trPr>
          <w:cantSplit/>
        </w:trPr>
        <w:tc>
          <w:tcPr>
            <w:tcW w:type="dxa" w:w="4997"/>
          </w:tcPr>
          <w:p>
            <w:r/>
            <w:r>
              <w:rPr>
                <w:b w:val="0"/>
              </w:rPr>
              <w:t>Armor</w:t>
            </w:r>
          </w:p>
        </w:tc>
        <w:tc>
          <w:tcPr>
            <w:tcW w:type="dxa" w:w="4997"/>
          </w:tcPr>
          <w:p>
            <w:r/>
            <w:r>
              <w:rPr>
                <w:b w:val="0"/>
              </w:rPr>
              <w:t>One primary passive armor system initially; explicit armor-layer rules determine any additional legal layer</w:t>
            </w:r>
          </w:p>
        </w:tc>
      </w:tr>
      <w:tr>
        <w:trPr>
          <w:cantSplit/>
        </w:trPr>
        <w:tc>
          <w:tcPr>
            <w:tcW w:type="dxa" w:w="4997"/>
          </w:tcPr>
          <w:p>
            <w:r/>
            <w:r>
              <w:rPr>
                <w:b w:val="0"/>
              </w:rPr>
              <w:t>Shields</w:t>
            </w:r>
          </w:p>
        </w:tc>
        <w:tc>
          <w:tcPr>
            <w:tcW w:type="dxa" w:w="4997"/>
          </w:tcPr>
          <w:p>
            <w:r/>
            <w:r>
              <w:rPr>
                <w:b w:val="0"/>
              </w:rPr>
              <w:t>One installed shield generator or minimal starter shield initially; later duplicate/alternative shield rules require explicit support</w:t>
            </w:r>
          </w:p>
        </w:tc>
      </w:tr>
      <w:tr>
        <w:trPr>
          <w:cantSplit/>
        </w:trPr>
        <w:tc>
          <w:tcPr>
            <w:tcW w:type="dxa" w:w="4997"/>
          </w:tcPr>
          <w:p>
            <w:r/>
            <w:r>
              <w:rPr>
                <w:b w:val="0"/>
              </w:rPr>
              <w:t>Propulsion</w:t>
            </w:r>
          </w:p>
        </w:tc>
        <w:tc>
          <w:tcPr>
            <w:tcW w:type="dxa" w:w="4997"/>
          </w:tcPr>
          <w:p>
            <w:r/>
            <w:r>
              <w:rPr>
                <w:b w:val="0"/>
              </w:rPr>
              <w:t>Basic FTL and sublight capability</w:t>
            </w:r>
          </w:p>
        </w:tc>
      </w:tr>
      <w:tr>
        <w:trPr>
          <w:cantSplit/>
        </w:trPr>
        <w:tc>
          <w:tcPr>
            <w:tcW w:type="dxa" w:w="4997"/>
          </w:tcPr>
          <w:p>
            <w:r/>
            <w:r>
              <w:rPr>
                <w:b w:val="0"/>
              </w:rPr>
              <w:t>Sensors / EW</w:t>
            </w:r>
          </w:p>
        </w:tc>
        <w:tc>
          <w:tcPr>
            <w:tcW w:type="dxa" w:w="4997"/>
          </w:tcPr>
          <w:p>
            <w:r/>
            <w:r>
              <w:rPr>
                <w:b w:val="0"/>
              </w:rPr>
              <w:t>TL1 passive sensor capability; active sensors, ECM, ECCM, and related systems are added as installed components when appropriate</w:t>
            </w:r>
          </w:p>
        </w:tc>
      </w:tr>
      <w:tr>
        <w:trPr>
          <w:cantSplit/>
        </w:trPr>
        <w:tc>
          <w:tcPr>
            <w:tcW w:type="dxa" w:w="4997"/>
          </w:tcPr>
          <w:p>
            <w:r/>
            <w:r>
              <w:rPr>
                <w:b w:val="0"/>
              </w:rPr>
              <w:t>Computing / fire control</w:t>
            </w:r>
          </w:p>
        </w:tc>
        <w:tc>
          <w:tcPr>
            <w:tcW w:type="dxa" w:w="4997"/>
          </w:tcPr>
          <w:p>
            <w:r/>
            <w:r>
              <w:rPr>
                <w:b w:val="0"/>
              </w:rPr>
              <w:t>TL1 command/report-fusion computer plus weapon-local/manual control; installed fire-control systems may improve coordination and accuracy</w:t>
            </w:r>
          </w:p>
        </w:tc>
      </w:tr>
      <w:tr>
        <w:trPr>
          <w:cantSplit/>
        </w:trPr>
        <w:tc>
          <w:tcPr>
            <w:tcW w:type="dxa" w:w="4997"/>
          </w:tcPr>
          <w:p>
            <w:r/>
            <w:r>
              <w:rPr>
                <w:b w:val="0"/>
              </w:rPr>
              <w:t>Power</w:t>
            </w:r>
          </w:p>
        </w:tc>
        <w:tc>
          <w:tcPr>
            <w:tcW w:type="dxa" w:w="4997"/>
          </w:tcPr>
          <w:p>
            <w:r/>
            <w:r>
              <w:rPr>
                <w:b w:val="0"/>
              </w:rPr>
              <w:t>TL1 reactor with one player-facing Tactical Power pool and meaningful Available / Powered / Spent choices</w:t>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r>
              <w:rPr>
                <w:b w:val="0"/>
              </w:rPr>
              <w:t>Support and specialist systems use the same Installation Space budget as other installed components; stripped calibration fixtures may omit them intentionally</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r>
              <w:rPr>
                <w:b w:val="0"/>
              </w:rPr>
              <w:t>Weapon 1</w:t>
            </w:r>
          </w:p>
        </w:tc>
        <w:tc>
          <w:tcPr>
            <w:tcW w:type="dxa" w:w="4997"/>
          </w:tcPr>
          <w:p>
            <w:r/>
            <w:r>
              <w:rPr>
                <w:b w:val="0"/>
              </w:rPr>
              <w:t>Coil Cannon Mk II  [Item TL 2 / Research TL 2 / Space shown]</w:t>
            </w:r>
          </w:p>
        </w:tc>
      </w:tr>
      <w:tr>
        <w:trPr>
          <w:cantSplit/>
        </w:trPr>
        <w:tc>
          <w:tcPr>
            <w:tcW w:type="dxa" w:w="4997"/>
          </w:tcPr>
          <w:p>
            <w:r/>
            <w:r>
              <w:rPr>
                <w:b w:val="0"/>
              </w:rPr>
              <w:t>Weapon 2</w:t>
            </w:r>
          </w:p>
        </w:tc>
        <w:tc>
          <w:tcPr>
            <w:tcW w:type="dxa" w:w="4997"/>
          </w:tcPr>
          <w:p>
            <w:r/>
            <w:r>
              <w:rPr>
                <w:b w:val="0"/>
              </w:rPr>
              <w:t>Optional second weapon if legal Space, power, ammunition, and support remain; no arbitrary shipwide weapon-count cap</w:t>
            </w:r>
          </w:p>
        </w:tc>
      </w:tr>
      <w:tr>
        <w:trPr>
          <w:cantSplit/>
        </w:trPr>
        <w:tc>
          <w:tcPr>
            <w:tcW w:type="dxa" w:w="4997"/>
          </w:tcPr>
          <w:p>
            <w:r/>
            <w:r>
              <w:rPr>
                <w:b w:val="0"/>
              </w:rPr>
              <w:t>Primary armor</w:t>
            </w:r>
          </w:p>
        </w:tc>
        <w:tc>
          <w:tcPr>
            <w:tcW w:type="dxa" w:w="4997"/>
          </w:tcPr>
          <w:p>
            <w:r/>
            <w:r>
              <w:rPr>
                <w:b w:val="0"/>
              </w:rPr>
              <w:t>Composite Plating Mk III  [Item TL 3 / Research TL 4 / Space shown]</w:t>
            </w:r>
          </w:p>
        </w:tc>
      </w:tr>
      <w:tr>
        <w:trPr>
          <w:cantSplit/>
        </w:trPr>
        <w:tc>
          <w:tcPr>
            <w:tcW w:type="dxa" w:w="4997"/>
          </w:tcPr>
          <w:p>
            <w:r/>
            <w:r>
              <w:rPr>
                <w:b w:val="0"/>
              </w:rPr>
              <w:t>Shield generator</w:t>
            </w:r>
          </w:p>
        </w:tc>
        <w:tc>
          <w:tcPr>
            <w:tcW w:type="dxa" w:w="4997"/>
          </w:tcPr>
          <w:p>
            <w:r/>
            <w:r>
              <w:rPr>
                <w:b w:val="0"/>
              </w:rPr>
              <w:t>Deflector Array Mk IV  [Item TL 4 / Research TL 3 / Space shown]</w:t>
            </w:r>
          </w:p>
        </w:tc>
      </w:tr>
      <w:tr>
        <w:trPr>
          <w:cantSplit/>
        </w:trPr>
        <w:tc>
          <w:tcPr>
            <w:tcW w:type="dxa" w:w="4997"/>
          </w:tcPr>
          <w:p>
            <w:r/>
            <w:r>
              <w:rPr>
                <w:b w:val="0"/>
              </w:rPr>
              <w:t>Main reactor</w:t>
            </w:r>
          </w:p>
        </w:tc>
        <w:tc>
          <w:tcPr>
            <w:tcW w:type="dxa" w:w="4997"/>
          </w:tcPr>
          <w:p>
            <w:r/>
            <w:r>
              <w:rPr>
                <w:b w:val="0"/>
              </w:rPr>
              <w:t>Fusion Reactor  [Item TL / Space / Tactical Power / Emergency Output shown]</w:t>
            </w:r>
          </w:p>
        </w:tc>
      </w:tr>
      <w:tr>
        <w:trPr>
          <w:cantSplit/>
        </w:trPr>
        <w:tc>
          <w:tcPr>
            <w:tcW w:type="dxa" w:w="4997"/>
          </w:tcPr>
          <w:p>
            <w:r/>
            <w:r>
              <w:rPr>
                <w:b w:val="0"/>
              </w:rPr>
              <w:t>Power support</w:t>
            </w:r>
          </w:p>
        </w:tc>
        <w:tc>
          <w:tcPr>
            <w:tcW w:type="dxa" w:w="4997"/>
          </w:tcPr>
          <w:p>
            <w:r/>
            <w:r>
              <w:rPr>
                <w:b w:val="0"/>
              </w:rPr>
              <w:t>Battery, Capacitor, Auxiliary Reactor, or other legal power component when installed</w:t>
            </w:r>
          </w:p>
        </w:tc>
      </w:tr>
      <w:tr>
        <w:trPr>
          <w:cantSplit/>
        </w:trPr>
        <w:tc>
          <w:tcPr>
            <w:tcW w:type="dxa" w:w="4997"/>
          </w:tcPr>
          <w:p>
            <w:r/>
            <w:r>
              <w:rPr>
                <w:b w:val="0"/>
              </w:rPr>
              <w:t>FTL drive</w:t>
            </w:r>
          </w:p>
        </w:tc>
        <w:tc>
          <w:tcPr>
            <w:tcW w:type="dxa" w:w="4997"/>
          </w:tcPr>
          <w:p>
            <w:r/>
            <w:r>
              <w:rPr>
                <w:b w:val="0"/>
              </w:rPr>
              <w:t>Installed FTL component  [Item TL / Space shown]</w:t>
            </w:r>
          </w:p>
        </w:tc>
      </w:tr>
      <w:tr>
        <w:trPr>
          <w:cantSplit/>
        </w:trPr>
        <w:tc>
          <w:tcPr>
            <w:tcW w:type="dxa" w:w="4997"/>
          </w:tcPr>
          <w:p>
            <w:r/>
            <w:r>
              <w:rPr>
                <w:b w:val="0"/>
              </w:rPr>
              <w:t>Sublight drive</w:t>
            </w:r>
          </w:p>
        </w:tc>
        <w:tc>
          <w:tcPr>
            <w:tcW w:type="dxa" w:w="4997"/>
          </w:tcPr>
          <w:p>
            <w:r/>
            <w:r>
              <w:rPr>
                <w:b w:val="0"/>
              </w:rPr>
              <w:t>Installed STL component  [Item TL / Space shown]</w:t>
            </w:r>
          </w:p>
        </w:tc>
      </w:tr>
      <w:tr>
        <w:trPr>
          <w:cantSplit/>
        </w:trPr>
        <w:tc>
          <w:tcPr>
            <w:tcW w:type="dxa" w:w="4997"/>
          </w:tcPr>
          <w:p>
            <w:r/>
            <w:r>
              <w:rPr>
                <w:b w:val="0"/>
              </w:rPr>
              <w:t>Sensors / EW</w:t>
            </w:r>
          </w:p>
        </w:tc>
        <w:tc>
          <w:tcPr>
            <w:tcW w:type="dxa" w:w="4997"/>
          </w:tcPr>
          <w:p>
            <w:r/>
            <w:r>
              <w:rPr>
                <w:b w:val="0"/>
              </w:rPr>
              <w:t>Passive/Active sensor and ECM/ECCM components when independently installed</w:t>
            </w:r>
          </w:p>
        </w:tc>
      </w:tr>
      <w:tr>
        <w:trPr>
          <w:cantSplit/>
        </w:trPr>
        <w:tc>
          <w:tcPr>
            <w:tcW w:type="dxa" w:w="4997"/>
          </w:tcPr>
          <w:p>
            <w:r/>
            <w:r>
              <w:rPr>
                <w:b w:val="0"/>
              </w:rPr>
              <w:t>Computing / fire control</w:t>
            </w:r>
          </w:p>
        </w:tc>
        <w:tc>
          <w:tcPr>
            <w:tcW w:type="dxa" w:w="4997"/>
          </w:tcPr>
          <w:p>
            <w:r/>
            <w:r>
              <w:rPr>
                <w:b w:val="0"/>
              </w:rPr>
              <w:t>Command/report-fusion and Targeting Computer components as applicable</w:t>
            </w:r>
          </w:p>
        </w:tc>
      </w:tr>
      <w:tr>
        <w:trPr>
          <w:cantSplit/>
        </w:trPr>
        <w:tc>
          <w:tcPr>
            <w:tcW w:type="dxa" w:w="4997"/>
          </w:tcPr>
          <w:p>
            <w:r/>
            <w:r>
              <w:rPr>
                <w:b w:val="0"/>
              </w:rPr>
              <w:t>Point defense / support</w:t>
            </w:r>
          </w:p>
        </w:tc>
        <w:tc>
          <w:tcPr>
            <w:tcW w:type="dxa" w:w="4997"/>
          </w:tcPr>
          <w:p>
            <w:r/>
            <w:r>
              <w:rPr>
                <w:b w:val="0"/>
              </w:rPr>
              <w:t>PDS, repair systems, Shield Hardener, laboratory, mining, fabrication, or other specialist components</w:t>
            </w:r>
          </w:p>
        </w:tc>
      </w:tr>
      <w:tr>
        <w:trPr>
          <w:cantSplit/>
        </w:trPr>
        <w:tc>
          <w:tcPr>
            <w:tcW w:type="dxa" w:w="4997"/>
          </w:tcPr>
          <w:p>
            <w:r/>
            <w:r>
              <w:rPr>
                <w:b w:val="0"/>
              </w:rPr>
              <w:t>Remaining Installation Space</w:t>
            </w:r>
          </w:p>
        </w:tc>
        <w:tc>
          <w:tcPr>
            <w:tcW w:type="dxa" w:w="4997"/>
          </w:tcPr>
          <w:p>
            <w:r/>
            <w:r>
              <w:rPr>
                <w:b w:val="0"/>
              </w:rPr>
              <w:t>Visible free-space total plus warnings for unmet requirements or unsupported operating load</w:t>
            </w:r>
          </w:p>
        </w:tc>
      </w:tr>
    </w:tbl>
    <w:p>
      <w:pPr>
        <w:spacing w:after="20"/>
        <w:widowControl w:val="1"/>
      </w:pP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may arrive before it is the best choice for every ship, while the preceding reactor family continues to mature. Exact Space, Tactical Power, damage-state behavior, and prerequisites remain for the dedicated Power TL-tree pass.</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 player researching widely gains more integrations and combinations, but low levels across many disciplines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Installed components have small integer Space costs. Component-family rules may still impose a specific physical or stacking limit when that limit creates a necessary rule.</w:t>
      </w:r>
    </w:p>
    <w:p>
      <w:pPr/>
      <w:r>
        <w:t>The player may devote Space to multiple weapons, reactors, defensive systems, computers, or support systems when the individual components are legal. The rules do not impose an arbitrary shipwide main-weapon count merely to shape balance; the natural costs are Space, Tactical Power, ammunition, support requirements, survivability, and opportunity cost.</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
              <w:rPr>
                <w:b/>
              </w:rPr>
              <w:t>State</w:t>
            </w:r>
          </w:p>
        </w:tc>
        <w:tc>
          <w:tcPr>
            <w:tcW w:type="dxa" w:w="7200"/>
            <w:vAlign w:val="center"/>
            <w:tcMar>
              <w:top w:w="110" w:type="dxa"/>
              <w:start w:w="120" w:type="dxa"/>
              <w:bottom w:w="110" w:type="dxa"/>
              <w:end w:w="120" w:type="dxa"/>
            </w:tcMar>
            <w:shd w:fill="17304F"/>
          </w:tcPr>
          <w:p>
            <w:r/>
            <w:r>
              <w:rPr>
                <w:b/>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regression evidence when adding new studies. A new calibration pass should be additive unless an explicit concept decision intentionally changes the rule it tests.</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r>
              <w:rPr>
                <w:b w:val="0"/>
              </w:rPr>
              <w:t>Set the player cruiser Space budget by Hull TL and assign component Space costs; keep the total bounded and avoid reintroducing separate slot pools.</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r>
              <w:rPr>
                <w:b w:val="0"/>
              </w:rPr>
              <w:t>Revisit powered defenses and natural Tactical Power demand after the revised technology/component architecture produces representative loadouts.</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r>
              <w:rPr>
                <w:b w:val="0"/>
              </w:rPr>
              <w:t>Assign final component values only after conceptual identities exist; use simulation to diagnose consequences rather than target fixed TL win ratios.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
              <w:rPr>
                <w:b/>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bl>
    <w:p>
      <w:pPr>
        <w:spacing w:after="20"/>
        <w:pStyle w:val="Lead"/>
        <w:keepNext/>
        <w:widowControl w:val="1"/>
      </w:pPr>
      <w:r>
        <w:t>These terms reflect the current concept. Historical slot/capacity terminology intentionally does not define the production ship-construction model.</w:t>
      </w:r>
    </w:p>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v0.6a</dc:title>
  <dc:subject>Current authoritative Star Cluster concept after technology and ship-construction reconciliation</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