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rFonts w:ascii="Aptos" w:hAnsi="Aptos"/>
                <w:b w:val="0"/>
                <w:i w:val="0"/>
                <w:color w:val="B8C7D3"/>
                <w:sz w:val="20"/>
              </w:rPr>
              <w:t>Version 0.6e  •  August 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0.6e</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Scripted bounded overload tactics on the validated finite-map battlefield before full tactical-response AI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200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never reopens the pre-Movement Tactical Power boundary.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should use mirrored first-mover/second-mover bounds. The second mover gains geometric information only; pre-Movement Tactical Power commitments remain fixed.</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affects Movement must be declared and funded at the pre-Movement power-adjustment opportunity. Seeing an opponent overload or change range during Movement does not permit a reactive STL overload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
              <w:rPr>
                <w:b/>
              </w:rPr>
              <w:t>State</w:t>
            </w:r>
          </w:p>
        </w:tc>
        <w:tc>
          <w:tcPr>
            <w:tcW w:type="dxa" w:w="7200"/>
            <w:vAlign w:val="center"/>
            <w:tcMar>
              <w:top w:w="110" w:type="dxa"/>
              <w:start w:w="120" w:type="dxa"/>
              <w:bottom w:w="110" w:type="dxa"/>
              <w:end w:w="120" w:type="dxa"/>
            </w:tcMar>
            <w:shd w:fill="17304F"/>
          </w:tcPr>
          <w:p>
            <w:r/>
            <w:r>
              <w:rPr>
                <w:b/>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rated 1-TP and 2-TP operating settings. Their listed Overload I adds 1 additional TP above the rated 2-TP maximum (3 TP total), extends both Firm and Approximate envelopes by 2 hexes, adds 1 Strain, and may occur at most once per component per turn. It is one bounded listed mode, not three additional TP or an invitation to stack spare power.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v0.6a</dc:title>
  <dc:subject>Current authoritative Star Cluster concept after technology and ship-construction reconciliation</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