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pPr>
              <w:jc w:val="center"/>
            </w:pPr>
            <w:r>
              <w:rPr>
                <w:rFonts w:ascii="Aptos Display" w:hAnsi="Aptos Display"/>
                <w:b/>
                <w:i w:val="0"/>
                <w:color w:val="FFFFFF"/>
                <w:sz w:val="56"/>
              </w:rPr>
              <w:t>STAR CLUSTER</w:t>
            </w:r>
          </w:p>
          <w:p>
            <w:pPr>
              <w:jc w:val="center"/>
            </w:pPr>
            <w:r>
              <w:rPr>
                <w:rFonts w:ascii="Aptos" w:hAnsi="Aptos"/>
                <w:b w:val="0"/>
                <w:i w:val="0"/>
                <w:color w:val="DDE8F0"/>
                <w:sz w:val="30"/>
              </w:rPr>
              <w:t>Game Concept &amp; Design Draft</w:t>
            </w:r>
          </w:p>
          <w:p>
            <w:pPr>
              <w:jc w:val="center"/>
            </w:pPr>
            <w:r>
              <w:rPr>
                <w:rFonts w:ascii="Aptos" w:hAnsi="Aptos"/>
                <w:b w:val="0"/>
                <w:i w:val="0"/>
                <w:color w:val="B8C7D3"/>
                <w:sz w:val="20"/>
              </w:rPr>
              <w:t>Version 0.6f  •  August 9,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0.6f</w:t>
            </w:r>
            <w:r>
              <w:rPr>
                <w:b w:val="0"/>
              </w:rPr>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August 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Bilateral overload/EW counterplay and the 100-fuel baseline before full tactical-response AI</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r>
        <w:t>Movement order never reopens the pre-Movement Tactical Power boundary. A ship moving second may react geometrically to the first ship's completed movement, but it cannot retroactively declare or fund an STL overload or other Movement-phase power commitment after seeing that movement. Later phase-boundary opportunities remain available exactly as defined above.</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should use mirrored first-mover/second-mover bounds. The second mover gains geometric information only; pre-Movement Tactical Power commitments remain fixed.</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affects Movement must be declared and funded at the pre-Movement power-adjustment opportunity. Seeing an opponent overload or change range during Movement does not permit a reactive STL overload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rated 1-TP and 2-TP operating settings. Their listed Overload I adds 1 additional TP above the rated 2-TP maximum (3 TP total), extends both Firm and Approximate envelopes by 2 hexes, adds 1 Strain, and may occur at most once per component per turn. It is one bounded listed mode, not three additional TP or an invitation to stack spare power.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v0.6f</dc:title>
  <dc:subject>Checkpoint 67 bilateral overload/EW counterplay and 100-fuel baseline</dc:subject>
  <dc:creator>OpenAI and project owner</dc:creator>
  <cp:keywords>Godot, C#, .NET 8, roguelike, starship, strategy, game design, missiles, terminal guidance, point defense</cp:keywords>
  <dc:description>Concept scrub through August 8, 2026. Historical checkpoint calibration narrative and obsolete slot/generation assumptions are intentionally excluded from the living Concept.</dc:description>
  <cp:lastModifiedBy/>
  <cp:revision>1</cp:revision>
  <dcterms:created xsi:type="dcterms:W3CDTF">2013-12-23T23:15:00Z</dcterms:created>
  <dcterms:modified xsi:type="dcterms:W3CDTF">2026-08-04T13:45:00Z</dcterms:modified>
  <cp:category/>
  <cp:version>0.4n</cp:version>
</cp:coreProperties>
</file>