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color w:val="B8C6D3"/>
                <w:sz w:val="20"/>
              </w:rPr>
              <w:t>Version 0.6h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0.6h</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Pr>
                <w:rFonts w:ascii="Aptos" w:hAnsi="Aptos"/>
                <w:color w:val="14263D"/>
                <w:sz w:val="21"/>
              </w:rPr>
              <w:t>TL1 Sensor/EW candidate operational combat, including same-hex EW semantics</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power commitments.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compute effective interference as max(0, target total ECM - observer ECCM). Any positive net ECM may degrade an otherwise Firm observation to Approximate; it does not erase an already detected contact merely by subtracting hexes from the sensor envelope. ECCM counters this discrimination interference only and never extends the observer's underlying sensor range. Same-hex line of sight is an explicit guardrail and cannot be occluded, but range zero does not bypass emission provenance or ECM/ECCM discrimination: net ECM may still degrade Firm to Approximate at point-blank tactical range, while matching or superior ECCM may preserve Firm.</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Matching or superior ECCM may preserve a Firm observation that hostile ECM would otherwise degrade; it cannot promote a baseline Approximate observation to Firm when the sensor itself lacks the required reach/discrimination.</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intrinsically improve accuracy or counter ECM discrimination. Checkpoint 69 keeps the simpler TL1 architecture with one rated normal Active mode before one bounded overload mode, retains the deterministic candidate sweep, and carries Balanced-0, Balanced-1, and Balanced-2 into matched operational combat; exact TL1 Passive, normal Active, and overloaded ranges are still not locked. Balanced-0 is the deliberate passive-awareness candidate: Passive Firm/Approximate 1/3, normal Active 3/4, and overloaded Active 4/5, extending passive Approximate detection without extending passive Firm targeting range. Higher-TL sensors may later introduce multiple rated low/high settings, better power efficiency, improved discrimination, or other capabilities. Active Sensor overload extends reach only; it is not ECCM. A Degraded Active Sensor supplies a reduced component-defined contribution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ECM/ECCM discrimination. Same-hex LOS cannot be occluded, but co-location does not guarantee Firm: emissions remain attributable and positive net ECM may degrade Firm to Approximate even at point-blank tactical range.</w:t>
            </w:r>
          </w:p>
        </w:tc>
        <w:tc>
          <w:tcPr>
            <w:tcW w:type="dxa" w:w="3331"/>
          </w:tcPr>
          <w:p>
            <w:r>
              <w:t>Current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v0.6h</dc:title>
  <dc:subject>TL1 Sensor/EW candidate operational combat and same-hex EW semantics</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