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0.6l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0.6l</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Versioned AI doctrine registry, evidence capture, and TL1 EW decision-policy testing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The first accepted EW doctrine evidence comes from Checkpoint 72: ECCM is reactive rather than automatic. If hostile ECM actually degrades an otherwise Firm observation and sufficient uncommitted TP remains, ECCM may activate; if the observation remains Firm, ECCM stays off. ECM activation itself remains a tactical choice rather than an always-on default. Checkpoint 73 evaluates candidate ECM heuristics that preserve different amounts of offensive, ECCM-response, and PDS headroom before spending TP on jamming.</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Deferred degraded fire: specific direct-fire weapon designs may later carry an explicit Approximate-Track Fire or Volume Fire trait. Such a weapon may attack an Approximate contact by deliberately covering an estimated volume - for example a dispersed kinetic pattern or an energy pulse/sweep - at a substantial accuracy and/or precision penalty defined by the weapon. This is never a universal permission: precision weapons may remain Firm-only, and missiles continue to use their separate datalink/navigation-sensor/seeker guidance rules. The trait is concept-only for now and is not implemented in the current combat resolver.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however, possess intrinsic Discrimination Resistance as part of its own technology, and favorable geometry may add Burn-through Resistance. Checkpoint 69 retains the simpler TL1 architecture with one rated normal Active mode before one bounded overload mode and keeps Balanced-0, Balanced-1, and Balanced-2 as candidate envelopes; exact TL1 Passive, normal Active, and overloaded ranges are still not locked. Balanced-0 is the deliberate passive-awareness candidate: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71 validated intrinsic Sensor Discrimination Resistance 0 plus same-hex Burn-through Resistance +1 at TL1. In the accepted native study, ECM 1 no longer denied Firm observations at fixed range zero, while ordinary operational ranges retained strong ECM pressure and matched ECCM still restored Firm at a Tactical Power opportunity cost. CP71 also exposed that automatic ECCM can waste power at point blank when burn-through already preserves Firm. Checkpoint 72 therefore keeps the CP71 numerical EW model fixed and tests timing instead: post-Movement ECM declaration, one ECCM response step from uncommitted Tactical Power, bilateral ECM/ECCM, and reactive ECCM that stays off when the post-ECM track remains Firm. No degraded-fire or movement-phase-fire mechanic is implemented in CP72.</w:t>
      </w:r>
    </w:p>
    <w:p>
      <w:pPr>
        <w:pStyle w:val="ListBullet"/>
      </w:pPr>
      <w:r>
        <w:t>Checkpoint 71 introduces the first discrimination-resistance/burn-through test without implementing degraded fire. The Balanced-0 fixture uses intrinsic Sensor Discrimination Resistance 0, normal ECM 1, normal ECCM 1, and +1 Burn-through Resistance only at same-hex range. The study replays the corresponding CP70a cost-1 operational and fixed point-blank contexts with paired deterministic seeds. The intended test is not a target win rate: same-hex ECM 1 should cease acting as an absolute Firm-track veto, ordinary-range ECM should remain meaningful, ECCM should remain a useful specialized counter, and stronger future ECM must remain capable of overcoming insufficient resistance.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