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0.6m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0.6m</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Accepted EW doctrine promotion and Approximate-track degraded-fire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Checkpoint 72 established reactive ECCM as accepted doctrine: if hostile ECM actually degrades an otherwise Firm observation and sufficient uncommitted TP remains, ECCM may activate; if the observation remains Firm, ECCM stays off. Checkpoint 73 then established the current TL1 ECM affordability/default heuristic: activate normal ECM only when enough Available Tactical Power remains for the ship's ready offensive package, planned PDS against a present missile threat, and one possible reactive ECCM response. Always-on ECM remains a diagnostic stress/control behavior, while the offense-only headroom heuristic is retained as rejected evidence because it failed to preserve PDS against missile threats. These results are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Weapon-specific degraded fire is now an implemented data-driven foundation but is not yet assigned to any production TL1 weapon. A direct-fire weapon may explicitly carry an Approximate-Track Fire / Volume Fire trait with a listed accuracy penalty. When that trait is present, an Approximate contact may satisfy the track gate for that weapon and the listed penalty applies to the normal direct-fire accuracy calculation; Firm-track attacks by the same weapon are unchanged. Weapons without the trait remain Firm-only. Missiles and torpedoes do not use this permission and continue to follow their separate datalink, navigation-sensor, and seeker rules. Checkpoint 74 sweeps -10, -20, and -30 percentage-point diagnostic penalties under controlled bilateral ECM at ranges 2 and 3; the study selects no production value by itself.</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71 validated intrinsic Sensor Discrimination Resistance 0 plus same-hex Burn-through Resistance +1 at TL1. In the accepted native study, ECM 1 no longer denied Firm observations at fixed range zero, while ordinary operational ranges retained strong ECM pressure and matched ECCM still restored Firm at a Tactical Power opportunity cost. CP71 also exposed that automatic ECCM can waste power at point blank when burn-through already preserves Firm. Checkpoint 72 therefore keeps the CP71 numerical EW model fixed and tests timing instead: post-Movement ECM declaration, one ECCM response step from uncommitted Tactical Power, bilateral ECM/ECCM, and reactive ECCM that stays off when the post-ECM track remains Firm. No degraded-fire or movement-phase-fire mechanic is implemented in CP72.</w:t>
      </w:r>
    </w:p>
    <w:p>
      <w:pPr>
        <w:pStyle w:val="ListBullet"/>
      </w:pPr>
      <w:r>
        <w:t>Checkpoint 71 introduced the first discrimination-resistance/burn-through test before degraded fire existed. The Balanced-0 fixture used intrinsic Sensor Discrimination Resistance 0, normal ECM 1, normal ECCM 1, and +1 Burn-through Resistance only at same-hex range. Its accepted result remains historical evidence for the Sensor/EW model. Checkpoint 74 adds a separate weapon-specific degraded-fire foundation without changing those accepted Sensor/EW values or retroactively altering the CP71 result.</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