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rFonts w:ascii="Aptos" w:hAnsi="Aptos"/>
                <w:b/>
                <w:color w:val="F5F8FB"/>
                <w:sz w:val="36"/>
              </w:rPr>
              <w:t>STAR CLUSTER</w:t>
              <w:br/>
            </w:r>
            <w:r>
              <w:rPr>
                <w:rFonts w:ascii="Aptos" w:hAnsi="Aptos"/>
                <w:b w:val="0"/>
                <w:color w:val="EAF1F7"/>
                <w:sz w:val="27"/>
              </w:rPr>
              <w:t>Game Concept &amp; Design Draft</w:t>
              <w:br/>
            </w:r>
            <w:r>
              <w:rPr>
                <w:rFonts w:ascii="Aptos" w:hAnsi="Aptos"/>
                <w:b w:val="0"/>
                <w:color w:val="C9D6E2"/>
                <w:sz w:val="21"/>
              </w:rPr>
              <w:t>Version 0.6p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0.6p</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Architecture consolidation, Tactical Computer degraded-fire ownership, and documentation/runtime scrub</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Reactive ECCM is the accepted doctrine: if hostile ECM actually degrades an otherwise Firm observation and sufficient uncommitted Tactical Power remains, ECCM may activate; if the observation remains Firm, ECCM stays off. The current TL1 ECM affordability/default heuristic activates normal ECM only when enough Available Tactical Power remains for the ship's ready offensive package, planned PDS against a present missile threat, and one possible reactive ECCM response. Always-on ECM remains a diagnostic stress/control behavior, while offense-only headroom is rejected because it fails to preserve PDS against missile threats. Accepted AI behavior is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data-driven and must pass the normal logical and combinatorial progression checks.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The capability belongs to an explicit weapon profile, variant, or upgrade; it is never granted automatically to every weapon in a Kinetic, Energy, Hybrid, or other broad family.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tested breakpoints; do not assume a linear progression, and revalidate the guardrail whenever Tactical Computer, Sensor, ECM, or ECCM progression changes.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Current operational evidence found Balanced-0 and Balanced-1 effectively indistinguishable under the acquisition-first automatic-active doctrine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 Sensor, ECM, ECCM, and Tactical Computer progression remain independent technology problems and must be re-evaluated together when later-TL combat envelopes are designed.</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provisionally have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Older alternate range settings remain frozen historical calibration evidence.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implementation-stamped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a stable implementation/diagnostic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diagnostic-contract/build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When a fallback mechanic bypasses a normal countermeasure - for example degraded fire allowing action while ECM has reduced a Firm observation to Approximate - explicitly test whether the fallback imposes enough practical cost that the dedicated counter-technology remains valuable. Evaluate both raw effectiveness and resource opportunity cost; a fallback that makes ECCM or another intended counter economically irrelevant fails the design guardrail even if it is numerically functional.</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r>
        <w:tc>
          <w:tcPr>
            <w:tcW w:type="dxa" w:w="4997"/>
          </w:tcPr>
          <w:p>
            <w:r>
              <w:t>Computing / EW progression</w:t>
            </w:r>
          </w:p>
        </w:tc>
        <w:tc>
          <w:tcPr>
            <w:tcW w:type="dxa" w:w="4997"/>
          </w:tcPr>
          <w:p>
            <w:r>
              <w:t>Define the TL1-TL9 Tactical Computer, Sensor, ECM, and ECCM histories independently. TL1 degraded-fire computer rating -25 is current; later breakpoints, power efficiency, interaction with contemporary EW, and damage-conditioned fire-control behavior remain open and require renewed counterplay validation.</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penalty and must not make ECCM economically irrelevant; candidate values are tested against Firm restoration, Tactical Power opportunity cost, PDS preservation, and normal combat pacing before promotion.</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tested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r>
              <w:t>The documented repeatable Godot tactical scenario used to compare behavior and automatic journals across implementation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