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0.6q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and ECCM are independent progression streams for design and calibration, but they do not create four new player-visible research trees. Tactical Computer remains owned by Computing / Fire Control. Sensor, ECM, and ECCM remain distinct streams within the existing Sensors / EW discipline. Their interacting values must be revalidated together whenever a changed dependency can alter the contemporary information/EW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TL2 evidence only as explicitly labeled candidate evidence. The first TL2 hypothesis deliberately separates variables: the legacy +12 percentage-point ordinary Tactical Computer targeting value is retained for revalidation while the degraded-fire penalty initially remains -25; Sensor Discrimination Resistance 1 is tested while the existing Balanced-0 range envelope is held as a study fixture; and normal ECM/ECCM rating ceilings of 2 at one Tactical Power per rating are tested before introducing additional TL2 overload or efficiency changes. None of those TL2 candidate values is production data until promoted by a later checkpoint.</w:t>
      </w:r>
    </w:p>
    <w:p>
      <w:pPr/>
      <w:r>
        <w:t>Later-TL Tactical Computer degraded-fire improvements, Sensor reach/discrimination changes, ECM/ECCM strength and efficiency, Evasive Compensation, and advanced modes remain deliberate breakpoints rather than automatic per-TL increases. Because Sensors, ECM, ECCM, Tactical Power, weapons, PDS, and computer assistance evolve independently, the degraded-fire fallback guardrail must be rechecked in the contemporary technological environment whenever an interacting dependency changes.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now establishes whole-ladder TL1-TL9 conceptual roles and a provisional TL2 candidate package for Tactical Computer, Sensor, ECM, and ECCM. Exact TL2 promotion remains open; later numerical breakpoints, power efficiency, advanced modes, Evasive Compensation, and damage-conditioned fire-control behavior remain deferred and require sequential counterplay validation.</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and ECCM are separate progression streams for design/calibration but do not imply separate player-visible research trees. Tactical Computer remains owned by Computing / Fire Control; Sensor, ECM, and ECCM remain streams inside Sensors / EW. Do not require every stream or statistic to improve at every TL.</w:t>
            </w:r>
          </w:p>
        </w:tc>
        <w:tc>
          <w:tcPr>
            <w:tcW w:type="dxa" w:w="3331"/>
          </w:tcPr>
          <w:p>
            <w:pPr/>
            <w:r>
              <w:t>Current technology architecture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a strongly interacting set of technology progression streams. It distinguishes current/working values, legacy candidates, new hypotheses, and deferred roles so future design space can be reviewed before exact next-TL calibration. It is not production component data and is revised after each evidence-based promotion.</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For example, Sensor, ECM, and ECCM are separate progression streams inside Sensors / EW rather than three additional research trees.</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v0.6q</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