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rFonts w:ascii="Aptos" w:hAnsi="Aptos"/>
                <w:b/>
                <w:color w:val="F5F8FB"/>
                <w:sz w:val="36"/>
              </w:rPr>
              <w:t>STAR CLUSTER</w:t>
              <w:br/>
            </w:r>
            <w:r>
              <w:rPr>
                <w:rFonts w:ascii="Aptos" w:hAnsi="Aptos"/>
                <w:b w:val="0"/>
                <w:color w:val="EAF1F7"/>
                <w:sz w:val="27"/>
              </w:rPr>
              <w:t>Game Concept &amp; Design Draft</w:t>
              <w:br/>
            </w:r>
            <w:r>
              <w:rPr>
                <w:rFonts w:ascii="Aptos" w:hAnsi="Aptos"/>
                <w:b w:val="0"/>
                <w:color w:val="C9D6E2"/>
                <w:sz w:val="21"/>
              </w:rPr>
              <w:t>Version 0.6q  •  August 10,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10,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 architecture matrix, staged TL progression, and Concept synchronization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 If later playtesting shows that whole-phase movement creates excessive initiative artifacts - for example a fast ship repeatedly crossing an opponent’s tactically important range or hex without an engagement opportunity - Star Cluster may test lightweight intermediate engagement windows. That is a future concept, not a current combat rule.</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AI doctrine, evidence, and revalidation</w:t>
      </w:r>
    </w:p>
    <w:p>
      <w:pPr/>
      <w:r>
        <w:t>Competent AI behavior that has been established by testing should be preserved as a versioned doctrine asset rather than re-created inside each calibration study. A doctrine records its domain, version, lifecycle state (control, experimental, accepted, or superseded), declared mechanical dependencies, evidence provenance, and the circumstances that require revalidation. Accepted doctrine remains available to future simulation and eventual game AI until a declared dependency changes or a later evidence-backed doctrine supersedes it. Monte Carlo evidence may recommend promotion, rejection, or continued experimentation, but never changes doctrine status automatically.</w:t>
      </w:r>
    </w:p>
    <w:p>
      <w:pPr/>
      <w:r>
        <w:t>AI doctrine must obey information parity with the player. It may use the ship’s own capabilities, current Available/uncommitted Tactical Power, current observable track quality, legitimately detected emissions, intended actions, and other information that the player could possess at the same decision window. It may not inspect hidden enemy ECM/ECCM ratings, hidden component values, the internal Effective Jamming Margin, or other authoritative state that the player has not learned. Cheap deterministic doctrine tests preserve accepted decisions; longer stochastic studies are rerun when a declared dependency changes or when a new policy is deliberately being evaluated.</w:t>
      </w:r>
    </w:p>
    <w:p>
      <w:pPr/>
      <w:r>
        <w:t>Reactive ECCM is the accepted doctrine: if hostile ECM actually degrades an otherwise Firm observation and sufficient uncommitted Tactical Power remains, ECCM may activate; if the observation remains Firm, ECCM stays off. The current TL1 ECM affordability/default heuristic activates normal ECM only when enough Available Tactical Power remains for the ship's ready offensive package, planned PDS against a present missile threat, and one possible reactive ECCM response. Always-on ECM remains a diagnostic stress/control behavior, while offense-only headroom is rejected because it fails to preserve PDS against missile threats. Accepted AI behavior is recorded in the versioned AI Doctrine Registry with hash-pinned evidence and dependency-based revalidation triggers.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data-driven and must pass the normal logical and combinatorial progression checks.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and mixed-TL/high-demand validation must confirm that advanced equipment remains meaningfully usable even when it cannot all be powered at once.</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2"/>
      </w:pPr>
      <w:r>
        <w:t>8.6 Technology architecture matrices and staged calibration</w:t>
      </w:r>
    </w:p>
    <w:p>
      <w:pPr/>
      <w:r>
        <w:t>For strongly interacting subsystem groups, maintain a whole-ladder TL1-TL9 Technology Architecture Matrix before assigning exact values to each next level. The matrix is a design roadmap and hypothesis, not production component data: it makes intended capability roles, interaction risks, and remaining design space visible before local tuning commits the project to a numerical ladder.</w:t>
      </w:r>
    </w:p>
    <w:p>
      <w:pPr/>
      <w:r>
        <w:t>Matrix entries distinguish current/working values, legacy candidates carried forward from older evidence, new hypotheses, and deliberately deferred decisions. Review the whole ladder first for stacked capability spikes, dead levels, design-space exhaustion, and accidental assumptions that every statistic must improve at every TL. Then validate and promote sequentially, one TL transition at a time; after each promotion, revise the roadmap before designing the next level.</w:t>
      </w:r>
    </w:p>
    <w:p>
      <w:pPr/>
      <w:r>
        <w:t>Tactical Computer, Sensor, ECM, and ECCM are independent progression streams for design and calibration, but they do not create four new player-visible research trees. Tactical Computer remains owned by Computing / Fire Control. Sensor, ECM, and ECCM remain distinct streams within the existing Sensors / EW discipline. Their interacting values must be revalidated together whenever a changed dependency can alter the contemporary information/EW contest.</w:t>
      </w:r>
    </w:p>
    <w:p>
      <w:pPr/>
      <w:r>
        <w:t>A progression stream may advance through a new operating capability, a higher useful rating ceiling, better Tactical Power efficiency, improved resilience/reliability, better integration, miniaturization, additional rated modes, or a primary-performance increase. No stream is required to improve at every TL, and no numerical statistic receives an automatic linear ladder merely because another subsystem advances.</w:t>
      </w:r>
    </w:p>
    <w:p>
      <w:pPr/>
      <w:r>
        <w:t>Technology Architecture Matrix v1 uses the current TL1 architecture as its anchor and imports prior TL2 evidence only as explicitly labeled candidate evidence. The first TL2 hypothesis deliberately separates variables: the legacy +12 percentage-point ordinary Tactical Computer targeting value is retained for revalidation while the degraded-fire penalty initially remains -25; Sensor Discrimination Resistance 1 is tested while the existing Balanced-0 range envelope is held as a study fixture; and normal ECM/ECCM rating ceilings of 2 at one Tactical Power per rating are tested before introducing additional TL2 overload or efficiency changes. Checkpoint 79a validated the diagnostic mechanics and showed a clean Sensor-DR/tall-versus-wide interaction, but its missile-pressure cases also exposed a potentially severe 2-TP ECCM2 opportunity cost on power-hungry combat packages. These values remain candidates rather than production data.</w:t>
      </w:r>
    </w:p>
    <w:p>
      <w:pPr/>
      <w:r>
        <w:t>Later-TL Tactical Computer degraded-fire improvements, Sensor reach/discrimination changes, ECM/ECCM strength and efficiency, Evasive Compensation, reactor output, and advanced modes remain deliberate breakpoints rather than automatic per-TL increases. Because Sensors, ECM, ECCM, Tactical Power, weapons, PDS, and computer assistance evolve independently, the degraded-fire fallback guardrail and tall-viability guardrail must be rechecked in the contemporary technological environment whenever an interacting dependency changes. Checkpoint 80 therefore compares the brute-force old-Sensor + ECCM2 path with the contemporary DR1 + ECCM1 path across missile and direct-fire pressure, with 5-TP production output and a 6-TP reactor sensitivity; the 6-TP case is diagnostic evidence, not a TL2 reactor promotion.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test event-driven fire opportunities at meaningful intermediate movement geometry if the current complete-Movement-before-Combat structure produces unsatisfying overrun or “bounce” tactics. A candidate implementation would pause only at defined engagement events - potentially after a traversed hex or a material range/line-of-sight boundary - and require simultaneous fire commitment at that window. This is inspired by the tactical benefit of proportional-movement games but does not imply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implemented data-driven direct-fire foundation but is not yet assigned to any production TL1 weapon. The capability belongs to an explicit weapon profile, variant, or upgrade; it is never granted automatically to every weapon in a Kinetic, Energy, Hybrid, or other broad family.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tested breakpoints; do not assume a linear progression, and revalidate the guardrail whenever Tactical Computer, Sensor, ECM, or ECCM progression changes.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for the next TL1 test,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data-driven and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Current operational evidence found Balanced-0 and Balanced-1 effectively indistinguishable under the acquisition-first automatic-active doctrine because normal Active Sensors are used so consistently that the extra Passive Approximate hex rarely changes combat decisions. Passive-awareness value remains a secondary future information/AI question. For current TL1 balance work, treat normal Active Sensors as likely standard tactical practice and prioritize ECM/ECCM counterplay. Sensor, ECM, ECCM, and Tactical Computer progression remain independent technology problems and must be re-evaluated together when later-TL combat envelopes are designed.</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provisionally have one rated normal Active setting plus one bounded Overload I setting rather than separate low/high normal modes. The forward candidates use one normal 1-TP Active mode and a listed +1-TP overload. Balanced-0 (Passive 1/3, Active 3/4, Overload 4/5), Balanced-1 (Passive 1/2, Active 3/4, Overload 4/5), and Balanced-2 (Passive 1/2, Active 3/4, Overload 5/6) are the primary operational comparison set; these remain candidate values rather than production ranges. Older alternate range settings remain frozen historical calibration evidence.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implementation-stamped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a stable implementation/diagnostic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diagnostic-contract/build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When a fallback mechanic bypasses a normal countermeasure - for example degraded fire allowing action while ECM has reduced a Firm observation to Approximate - explicitly test whether the fallback imposes enough practical cost that the dedicated counter-technology remains valuable. Evaluate both raw effectiveness and resource opportunity cost; a fallback that makes ECCM or another intended counter economically irrelevant fails the design guardrail even if it is numerically functional.</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r>
        <w:tc>
          <w:tcPr>
            <w:tcW w:type="dxa" w:w="4997"/>
          </w:tcPr>
          <w:p>
            <w:r>
              <w:t>Computing / EW progression</w:t>
            </w:r>
          </w:p>
        </w:tc>
        <w:tc>
          <w:tcPr>
            <w:tcW w:type="dxa" w:w="4997"/>
          </w:tcPr>
          <w:p>
            <w:r>
              <w:t>Technology Architecture Matrix v1 remains the whole-ladder planning authority. Checkpoint 79a validated the DR1 / ECM2 / ECCM2 diagnostic mechanics and tall-versus-wide interaction without promoting the TL2 candidates; it also showed that brute-force ECCM2 can create severe Tactical Power/PDS opportunity cost on a power-hungry missile-defense package. Checkpoint 80 must determine whether that cost is appropriately situational or systematically punitive by comparing missile and direct-fire pressure plus a bounded 6-TP reactor sensitivity. Later numerical breakpoints, power efficiency, advanced modes, Evasive Compensation, and damage-conditioned fire-control behavior remain deferred and require sequential counterplay validation.</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TL1 diagnostic,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are retained as a future granularity option if complete-Movement-before-Combat creates excessive initiative/overrun artifacts. Test lightweight event-driven windows with simultaneous fire commitments before considering anything like proportional impulse movement. Do not import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Accepted AI/tactical heuristics are versioned doctrine assets with explicit lifecycle status, evidence provenance, declared mechanical dependencies, and revalidation triggers. AI decisions use only player-legitimate information at the same decision window; hidden enemy ratings and internal equations are prohibited inputs. Stochastic studies may produce evidence drafts, but doctrine promotion remains an explicit human-reviewed checkpoint decision.</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penalty and must not make ECCM economically irrelevant; candidate values are tested against Firm restoration, Tactical Power opportunity cost, PDS preservation, and normal combat pacing before promotion.</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tested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C-052</w:t>
            </w:r>
          </w:p>
        </w:tc>
        <w:tc>
          <w:tcPr>
            <w:tcW w:type="dxa" w:w="3331"/>
          </w:tcPr>
          <w:p>
            <w:pPr/>
            <w:r>
              <w:t>For tightly interacting technology streams, maintain a whole-ladder TL1-TL9 Technology Architecture Matrix before exact next-TL tuning. The matrix labels current/working values, legacy candidates, hypotheses, and deferred roles; it is reviewed for future design space first, then values are validated and promoted sequentially TL by TL. After each promotion, revise the matrix before tuning the next level.</w:t>
            </w:r>
          </w:p>
        </w:tc>
        <w:tc>
          <w:tcPr>
            <w:tcW w:type="dxa" w:w="3331"/>
          </w:tcPr>
          <w:p>
            <w:pPr/>
            <w:r>
              <w:t>Current development architecture</w:t>
            </w:r>
          </w:p>
        </w:tc>
      </w:tr>
      <w:tr>
        <w:tc>
          <w:tcPr>
            <w:tcW w:type="dxa" w:w="3331"/>
          </w:tcPr>
          <w:p>
            <w:pPr/>
            <w:r>
              <w:t>C-053</w:t>
            </w:r>
          </w:p>
        </w:tc>
        <w:tc>
          <w:tcPr>
            <w:tcW w:type="dxa" w:w="3331"/>
          </w:tcPr>
          <w:p>
            <w:pPr/>
            <w:r>
              <w:t>Tactical Computer, Sensor, ECM, and ECCM are separate progression streams for design/calibration but do not imply separate player-visible research trees. Tactical Computer remains owned by Computing / Fire Control; Sensor, ECM, and ECCM remain streams inside Sensors / EW. Do not require every stream or statistic to improve at every TL.</w:t>
            </w:r>
          </w:p>
        </w:tc>
        <w:tc>
          <w:tcPr>
            <w:tcW w:type="dxa" w:w="3331"/>
          </w:tcPr>
          <w:p>
            <w:pPr/>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must broaden viable solutions rather than make new equipment systematically unusable. Validate high-demand mixed-TL builds before promotion.</w:t>
            </w:r>
          </w:p>
        </w:tc>
        <w:tc>
          <w:tcPr>
            <w:tcW w:type="dxa" w:w="3331"/>
            <w:tcPr>
              <w:tcW w:type="dxa" w:w="3331"/>
            </w:tcPr>
          </w:tcPr>
          <w:p>
            <w:pPr/>
            <w:r>
              <w:t>Current technology progression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r>
              <w:t>The documented repeatable Godot tactical scenario used to compare behavior and automatic journals across implementation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AI Doctrine Registry</w:t>
            </w:r>
          </w:p>
        </w:tc>
        <w:tc>
          <w:tcPr>
            <w:tcW w:type="dxa" w:w="4997"/>
          </w:tcPr>
          <w:p>
            <w:r>
              <w:t>Versioned machine-readable catalog of AI decision policies, their lifecycle status, player-information constraints, evidence links, dependencies, and revalidation triggers. Accepted doctrine is reused until deliberately superseded or invalidated by a dependency change.</w:t>
            </w:r>
          </w:p>
        </w:tc>
      </w:tr>
      <w:tr>
        <w:tc>
          <w:tcPr>
            <w:tcW w:type="dxa" w:w="4997"/>
          </w:tcPr>
          <w:p>
            <w:r>
              <w:t>Doctrine evidence draft</w:t>
            </w:r>
          </w:p>
        </w:tc>
        <w:tc>
          <w:tcPr>
            <w:tcW w:type="dxa" w:w="4997"/>
          </w:tcPr>
          <w:p>
            <w:r>
              <w:t>Hash-linked study output that captures the registry version, study result hash, candidate doctrines, declared dependencies, and relevant telemetry for human review. It never promotes a doctrine automatically.</w:t>
            </w:r>
          </w:p>
        </w:tc>
      </w:tr>
      <w:tr>
        <w:tc>
          <w:tcPr>
            <w:tcW w:type="dxa" w:w="4997"/>
          </w:tcPr>
          <w:p>
            <w:r>
              <w:t>Doctrine dependency</w:t>
            </w:r>
          </w:p>
        </w:tc>
        <w:tc>
          <w:tcPr>
            <w:tcW w:type="dxa" w:w="4997"/>
          </w:tcPr>
          <w:p>
            <w:r>
              <w:t>Named mechanic, resource rule, timing rule, or information assumption on which an accepted AI heuristic relies. Changing a declared dependency is a reason to revalidate that doctrine; unrelated changes are not.</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pPr/>
            <w:r>
              <w:t>Technology Architecture Matrix</w:t>
            </w:r>
          </w:p>
        </w:tc>
        <w:tc>
          <w:tcPr>
            <w:tcW w:type="dxa" w:w="4997"/>
          </w:tcPr>
          <w:p>
            <w:pPr/>
            <w:r>
              <w:t>A whole-ladder TL1-TL9 design roadmap for a strongly interacting set of technology progression streams. It distinguishes current/working values, legacy candidates, new hypotheses, and deferred roles so future design space can be reviewed before exact next-TL calibration. It is not production component data and is revised after each evidence-based promotion.</w:t>
            </w:r>
          </w:p>
        </w:tc>
      </w:tr>
      <w:tr>
        <w:tc>
          <w:tcPr>
            <w:tcW w:type="dxa" w:w="4997"/>
          </w:tcPr>
          <w:p>
            <w:pPr/>
            <w:r>
              <w:t>Progression stream</w:t>
            </w:r>
          </w:p>
        </w:tc>
        <w:tc>
          <w:tcPr>
            <w:tcW w:type="dxa" w:w="4997"/>
          </w:tcPr>
          <w:p>
            <w:pPr/>
            <w:r>
              <w:t>A mechanically distinct line of advancement tracked separately for design and calibration even when it shares a player-visible research discipline with other streams. For example, Sensor, ECM, and ECCM are separate progression streams inside Sensors / EW rather than three additional research trees.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v0.6l</dc:title>
  <dc:subject>Versioned AI doctrine registry, evidence capture, and TL1 EW decision-policy testing</dc:subject>
  <dc:creator>OpenAI and project owner</dc:creator>
  <cp:keywords>Godot, C#, .NET 8, roguelike, starship, strategy, game design, missiles, terminal guidance, point defense</cp:keywords>
  <dc:description>Checkpoint 73 authoritative living Concept; accepted reactive ECCM evidence is preserved while ECM activation heuristics remain experimental.</dc:description>
  <cp:lastModifiedBy/>
  <cp:revision>1</cp:revision>
  <dcterms:created xsi:type="dcterms:W3CDTF">2013-12-23T23:15:00Z</dcterms:created>
  <dcterms:modified xsi:type="dcterms:W3CDTF">2026-08-04T13:45:00Z</dcterms:modified>
  <cp:category/>
  <cp:version>0.6l</cp:version>
</cp:coreProperties>
</file>