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0.6q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and ECCM are independent progression streams for design and calibration, but they do not create four new player-visible research trees. Tactical Computer remains owned by Computing / Fire Control. Sensor, ECM, and ECCM remain distinct streams within the existing Sensors / EW discipline. Their interacting values must be revalidated together whenever a changed dependency can alter the contemporary information/EW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TL2 evidence only as explicitly labeled candidate evidence. The first TL2 hypothesis deliberately separates variables: the legacy +12 percentage-point ordinary Tactical Computer targeting value is retained for revalidation while the degraded-fire penalty initially remains -25; Sensor Discrimination Resistance 1 is tested while the existing Balanced-0 range envelope is held as a study fixture; and normal ECM/ECCM rating ceilings of 2 at one Tactical Power per rating are tested before introducing additional TL2 overload or efficiency changes. Checkpoints 79a and 80 now provide accepted diagnostic evidence that DR1 + ECCM1 is a healthy contemporary 5-TP response to ECM2, while an old Sensor + ECCM2 can restore Firm but may pay a severe 2-TP opportunity cost on power-hungry builds. A 6-TP sensitivity largely restored that brute-force wide path, showing a support/power breakpoint rather than broken EW arithmetic. DR1, ECM2, and ECCM2 remain strong TL2 working candidates rather than production data until whole-TL2 integration is reviewed.</w:t>
      </w:r>
    </w:p>
    <w:p>
      <w:pPr/>
      <w:r>
        <w:t>Later-TL Tactical Computer degraded-fire improvements, Sensor reach/discrimination changes, ECM/ECCM strength and efficiency, Evasive Compensation, reactor output, and advanced modes remain deliberate breakpoints rather than automatic per-TL increases. Because Sensors, ECM, ECCM, Tactical Power, weapons, PDS, and computer assistance evolve independently, the degraded-fire fallback guardrail and tall-viability guardrail must be rechecked in the contemporary technological environment whenever an interacting dependency changes. The next focused integration question therefore revalidates the legacy TL2 Tactical Computer +12 percentage-point ordinary-targeting candidate against the TL1 +10 control while holding the computer-owned degraded-fire penalty at -25, Evasive Compensation at 0, reactor output at 5 TP, Sensor range unchanged, and Sensor/EW overload unchanged.</w:t>
      </w:r>
    </w:p>
    <w:p>
      <w:pPr/>
      <w:r>
        <w:t>For recurring cross-subsystem calibration, maintain standing data-driven Technology Integration Permutation Suites rather than creating an entirely new stochastic architecture for every checkpoint. A suite declares reusable axes such as weapon family, opponent pressure, geometry, Sensor/EW package, Tactical Computer level, power environment, and doctrine. Individual checkpoints activate only the dependency-relevant submatrix required to preserve causal interpretability; they do not automatically rerun every Cartesian combination. Pair candidate/control variants on common random streams where practical so small technology deltas can be measured cleanly, and expand the standing suite as newly promoted subsystem properties become relevant.</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remains the whole-ladder planning authority. Checkpoints 79a and 80 support DR1 / ECM2 / ECCM2 as strong TL2 working candidates without production promotion: DR1 + ECCM1 is the efficient contemporary response, while old-Sensor + ECCM2 is a mechanically valid but more power-hungry mixed-tech path. Checkpoint 81 revalidates the legacy +12 ordinary Tactical Computer targeting candidate against +10 using a standing paired permutation suite while holding degraded fire at -25, Evasive Compensation at 0, reactor output at 5 TP, and Sensor/EW overload unchanged. Later numerical breakpoints, power efficiency, advanced modes, Evasive Compensation, and damage-conditioned fire-control behavior remain deferred and require sequential counterplay validation.</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and ECCM are separate progression streams for design/calibration but do not imply separate player-visible research trees. Tactical Computer remains owned by Computing / Fire Control; Sensor, ECM, and ECCM remain streams inside Sensors / EW. Do not require every stream or statistic to improve at every TL.</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r>
        <w:tc>
          <w:tcPr>
            <w:tcW w:type="dxa" w:w="3331"/>
          </w:tcPr>
          <w:p>
            <w:r>
              <w:t>C-055</w:t>
            </w:r>
          </w:p>
        </w:tc>
        <w:tc>
          <w:tcPr>
            <w:tcW w:type="dxa" w:w="3331"/>
          </w:tcPr>
          <w:p>
            <w:r>
              <w:t>Recurring technology-integration calibration should use standing, data-driven permutation suites with reusable scenario axes and machine-readable coverage definitions. A checkpoint activates only the dependency-relevant submatrix needed to answer its current causal question; it does not rerun every possible combination by default. Candidate/control pairs should share common random streams where practical, and the suite expands as promoted subsystem properties create new relevant interactions.</w:t>
            </w:r>
          </w:p>
        </w:tc>
        <w:tc>
          <w:tcPr>
            <w:tcW w:type="dxa" w:w="3331"/>
          </w:tcPr>
          <w:p>
            <w:r>
              <w:t>Current calibration architecture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a strongly interacting set of technology progression streams. It distinguishes current/working values, legacy candidates, new hypotheses, and deferred roles so future design space can be reviewed before exact next-TL calibration. It is not production component data and is revised after each evidence-based promotion.</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For example, Sensor, ECM, and ECCM are separate progression streams inside Sensors / EW rather than three additional research trees.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r>
              <w:t>Technology Integration Permutation Suite</w:t>
            </w:r>
          </w:p>
        </w:tc>
        <w:tc>
          <w:tcPr>
            <w:tcW w:type="dxa" w:w="4997"/>
          </w:tcPr>
          <w:p>
            <w:r>
              <w:t>A standing machine-readable calibration framework that defines reusable cross-subsystem scenario axes and paired candidate/control coverage. Individual checkpoints select only the dependency-relevant submatrix needed for causal interpretation instead of creating a wholly bespoke study or rerunning every combination.</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