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0.6t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0.6t</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first current-architecture TL2 Power calibration deliberately isolates reactor output density. Checkpoint 83 compares the accepted 6-Space Peak-Fission reference at 5 Operational Tactical Power with a 6-Space Early Practical Fusion candidate at 6 Operational Tactical Power across the standing technology-integration scenarios. Only normal Operational output changes. Reactor Degraded/Disabled output, overload behavior, efficiency, storage, auxiliary generation, Space reduction, reliability, and enabling prerequisites remain deferred and are not inferred from a successful 6-TP study. Mature TL1 reactors remain stackable where ship architecture permits; their real additional Space and opportunity cost should be compared rather than imposing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validated working candidates supported by contemporary evidence but not yet promoted into production component data,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ECCM, and Power / Reactor are independent progression streams for design and calibration. This does not create five new player-visible research trees. Tactical Computer remains owned by Computing / Fire Control. Sensor, ECM, and ECCM remain distinct streams within the existing Sensors / EW discipline. Power / Reactor remains its own existing research discipline. Their interacting values must be revalidated together whenever a changed dependency can alter the contemporary information/EW or whole-ship Tactical Power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later-TL evidence only when it is explicitly reconciled with current rules. Checkpoints 79a, 80, and 81a establish the first validated TL2 Computing / Sensor-EW working candidate package: Tactical Computer ordinary targeting assistance +12 percentage points; computer-owned degraded-fire penalty held at -25 percentage points; Evasive Compensation held at 0; Sensor Discrimination Resistance 1; normal ECM and ECCM rating ceilings 2 at one Tactical Power per rating. Sensor physical reach remains on the unchanged Balanced-0 study fixture and new TL2 Sensor/EW overload behavior remains deferred. The accepted TL1 Power reference remains Peak Fission at 5 Operational Tactical Power from a 6-Space Main Reactor; historical Reactor 6 evidence is not silently promoted by the information-control package.</w:t>
      </w:r>
    </w:p>
    <w:p>
      <w:pPr/>
      <w:r>
        <w:t>Checkpoint 81a revalidated the legacy +12 Tactical Computer value across the standing paired permutation suite without weakening the -25 degraded-fire/ECCM guardrail, collapsing PDS autonomy, or changing missile Guidance Computer behavior. Combined with Checkpoint 80, the evidence also preserves the tall-viability rule: DR1 + ECCM1 is the efficient contemporary response to ECM2, while an old Sensor + ECCM2 is a mechanically valid but more power-hungry mixed-tech solution. Checkpoint 83 therefore promotes Power / Reactor to a first-class calibration axis and revalidates the historical 6-TP output only as an Early Practical Fusion candidate. Later-TL degraded-fire improvements, Sensor reach/discrimination changes, ECM/ECCM strength and efficiency, Evasive Compensation, reactor characteristics, and advanced modes remain deliberate breakpoints rather than automatic per-TL increases.</w:t>
      </w:r>
    </w:p>
    <w:p>
      <w:pPr/>
      <w:r>
        <w:t>For recurring cross-subsystem calibration, maintain standing data-driven Technology Integration Permutation Suites rather than creating an entirely new stochastic architecture for every checkpoint. The standing suite records reusable axes, validated technology packages, Power/Reactor candidate-control packages, common-random-stream pairing rules, and coverage gaps. Individual checkpoints activate only the dependency-relevant submatrix required to preserve causal interpretability; they do not automatically rerun every Cartesian combination. Technology Integration Permutation Suite v0.3 adds Power / Reactor as a first-class axis while preserving the validated TL2 information-control package as a reusable package rather than reconstructing it ad hoc.</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carries +12 Tactical Computer targeting, Sensor DR1, ECM2, and ECCM2 at 1 TP/rating as validated TL2 information-control working candidates based on Checkpoints 79a, 80, and 81a. Degraded fire remains -25, Evasive Compensation remains 0, and Sensor range/new EW overload behavior remain unpromoted. Power / Reactor is now a first-class Matrix and permutation-suite axis; the CP83 6-TP Early Practical Fusion output is a legacy candidate pending native evidence, not current production authority.</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pPr/>
            <w:r>
              <w:t>CP83 pairs the accepted 5-TP / 6-Space Peak-Fission reference against a 6-TP / 6-Space Early Practical Fusion candidate across 96 standing-suite variants. The candidate changes Operational output only. Damage-state output, overload, efficiency, footprint, storage, auxiliary generation, reliability, and prerequisites remain separate future decisions, and no value is automatically promoted.</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ECCM, and Power / Reactor are separate progression streams for design/calibration but do not imply five new player-visible research trees. Tactical Computer remains owned by Computing / Fire Control; Sensor, ECM, and ECCM remain streams inside Sensors / EW; Power / Reactor remains its own existing discipline. Do not require every stream or statistic to improve at every TL.</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r>
        <w:tc>
          <w:tcPr>
            <w:tcW w:type="dxa" w:w="3331"/>
          </w:tcPr>
          <w:p>
            <w:r>
              <w:t>C-055</w:t>
            </w:r>
          </w:p>
        </w:tc>
        <w:tc>
          <w:tcPr>
            <w:tcW w:type="dxa" w:w="3331"/>
          </w:tcPr>
          <w:p>
            <w:r>
              <w:t>Recurring technology-integration calibration should use standing, data-driven permutation suites with reusable scenario axes and machine-readable coverage definitions. A checkpoint activates only the dependency-relevant submatrix needed to answer its current causal question; it does not rerun every possible combination by default. Candidate/control pairs should share common random streams where practical, and the suite expands as promoted subsystem properties create new relevant interactions.</w:t>
            </w:r>
          </w:p>
        </w:tc>
        <w:tc>
          <w:tcPr>
            <w:tcW w:type="dxa" w:w="3331"/>
          </w:tcPr>
          <w:p>
            <w:r>
              <w:t>Current calibration architecture</w:t>
            </w:r>
          </w:p>
        </w:tc>
      </w:tr>
      <w:tr>
        <w:tc>
          <w:tcPr>
            <w:tcW w:type="dxa" w:w="3331"/>
          </w:tcPr>
          <w:p>
            <w:r>
              <w:t>C-056</w:t>
            </w:r>
          </w:p>
        </w:tc>
        <w:tc>
          <w:tcPr>
            <w:tcW w:type="dxa" w:w="3331"/>
          </w:tcPr>
          <w:p>
            <w:r>
              <w:t>Checkpoints 79a, 80, and 81a establish the first validated TL2 Computing / Sensor-EW working candidate package under the current architecture: Tactical Computer ordinary targeting +12 pp; degraded-fire penalty held -25 pp; Evasive Compensation 0; Sensor Discrimination Resistance 1; ECM and ECCM normal ceilings 2 at 1 TP/rating. Sensor reach, reactor growth, and new TL2 overload/efficiency behavior are not promoted by that evidence. The package is working design authority for further TL2 integration, not a complete production TL2 combat profile; historical profiles named tl2-production remain compatibility evidence unless explicitly reconciled and promoted.</w:t>
            </w:r>
          </w:p>
        </w:tc>
        <w:tc>
          <w:tcPr>
            <w:tcW w:type="dxa" w:w="3331"/>
          </w:tcPr>
          <w:p>
            <w:r>
              <w:t>Validated working candidate / current technology architecture</w:t>
            </w:r>
          </w:p>
        </w:tc>
      </w:tr>
      <w:tr>
        <w:tc>
          <w:tcPr>
            <w:tcW w:type="dxa" w:w="3331"/>
          </w:tcPr>
          <w:p>
            <w:pPr/>
            <w:r>
              <w:t>C-057</w:t>
            </w:r>
          </w:p>
        </w:tc>
        <w:tc>
          <w:tcPr>
            <w:tcW w:type="dxa" w:w="3331"/>
          </w:tcPr>
          <w:p>
            <w:pPr/>
            <w:r>
              <w:t>Power / Reactor is a first-class progression stream in Technology Architecture Matrix v1 and Technology Integration Permutation Suite v0.3. The first current-architecture TL2 Power hypothesis revalidates the historical 6-TP Early Practical Fusion output against the accepted 5-TP Peak-Fission reference at the same 6-Space footprint. The candidate changes Operational output only; condition mapping, overload, efficiency, storage, auxiliary generation, footprint, and prerequisites remain unpromoted. Mature legacy-reactor stacking remains legal where architecture permits and must pay its real Space/opportunity cost rather than being blocked by an arbitrary anti-stacking rule.</w:t>
            </w:r>
          </w:p>
        </w:tc>
        <w:tc>
          <w:tcPr>
            <w:tcW w:type="dxa" w:w="3331"/>
          </w:tcPr>
          <w:p>
            <w:pPr/>
            <w:r>
              <w:t>Current calibration hypothesis / not production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strongly interacting technology progression streams. Matrix v1 currently tracks Tactical Computer, Sensor, ECM, ECCM, and Power / Reactor. It distinguishes current/working values, validated working candidates, legacy candidates, new hypotheses, and deferred roles so future design space can be reviewed before exact next-TL calibration. It is not production component data and is revised as evidence changes.</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Sensor, ECM, and ECCM are separate streams inside Sensors / EW; Tactical Computer is inside Computing / Fire Control; Power / Reactor is its own existing discipline.</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r>
              <w:t>Technology Integration Permutation Suite</w:t>
            </w:r>
          </w:p>
        </w:tc>
        <w:tc>
          <w:tcPr>
            <w:tcW w:type="dxa" w:w="4997"/>
          </w:tcPr>
          <w:p>
            <w:r>
              <w:t>A standing machine-readable calibration framework that defines reusable cross-subsystem scenario axes and paired candidate/control coverage. Individual checkpoints select only the dependency-relevant submatrix needed for causal interpretation instead of creating a wholly bespoke study or rerunning every combination.</w:t>
            </w:r>
          </w:p>
        </w:tc>
      </w:tr>
      <w:tr>
        <w:tc>
          <w:tcPr>
            <w:tcW w:type="dxa" w:w="4997"/>
          </w:tcPr>
          <w:p>
            <w:r>
              <w:t>Validated working candidate</w:t>
            </w:r>
          </w:p>
        </w:tc>
        <w:tc>
          <w:tcPr>
            <w:tcW w:type="dxa" w:w="4997"/>
          </w:tcPr>
          <w:p>
            <w:r>
              <w:t>A technology value or capability supported by contemporary deterministic and/or stochastic evidence strongly enough to guide further design and integration, but not yet promoted into production component data or a complete current-TL package. It remains subject to revalidation when an interacting dependency changes.</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