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0.6z  •  August 11,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0.6z</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Component installation multiplicity and electronic-warfare redundancy</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The current working ECM and ECCM suite footprints are 1 Space each. Multiple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the current TL1 player-cruiser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and at least one Main Reactor. A second Main Weapon, a second Reactor, or both are optional, explicit design choices rather than default requirements; they remain subject to normal Installation Space, compatibility, prerequisite, and other construction constraints.</w:t>
      </w:r>
    </w:p>
    <w:p>
      <w:pPr/>
      <w:r>
        <w:t>At the current TL1 working footprints, the 35-Space player cruiser has 25 Space of mandatory primary architecture and 10 Space of discretionary construction envelope. Current costs permit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Current TL2 working direction is Tactical Computer +12 ordinary targeting, Sensor DR1, ECM2, and ECCM2 at 1 TP/rating. Degraded fire remains -25, Evasive Compensation remains 0, and Sensor range/new EW overload behavior remain uncommitted.</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Early Practical Fusion currently uses 6 Operational TP / 6 Space as the TL2 working candidate. Only Operational output advances; damage-state output, overload, efficiency, footprint, storage, auxiliary generation, reliability, and prerequisites remain separate future decisions.</w:t>
            </w:r>
          </w:p>
        </w:tc>
      </w:tr>
      <w:tr>
        <w:tc>
          <w:tcPr>
            <w:tcW w:type="dxa" w:w="4997"/>
          </w:tcPr>
          <w:p>
            <w:pPr/>
            <w:r>
              <w:t>Shield progression</w:t>
            </w:r>
          </w:p>
        </w:tc>
        <w:tc>
          <w:tcPr>
            <w:tcW w:type="dxa" w:w="4997"/>
          </w:tcPr>
          <w:p>
            <w:r>
              <w:t>Shield Capacity 3 at the unchanged 3-Space footprint is the current TL2 working candidate. Capacity 4 is not promoted. Base Recharge, tactical recharge, Shield Armor, condition behavior, overload, efficiency, and footprint remain separate.</w:t>
            </w:r>
          </w:p>
        </w:tc>
      </w:tr>
      <w:tr>
        <w:tc>
          <w:tcPr>
            <w:tcW w:type="dxa" w:w="4997"/>
          </w:tcPr>
          <w:p>
            <w:r>
              <w:t>Armor progression</w:t>
            </w:r>
          </w:p>
        </w:tc>
        <w:tc>
          <w:tcPr>
            <w:tcW w:type="dxa" w:w="4997"/>
          </w:tcPr>
          <w:p>
            <w:r>
              <w:t>AP0/AI5 is the current TL2 armor working candidate. AP1 remains a separate deferred possibility because its value depends strongly on weapon penetration and layered-defense interactions; AP1/AI5 is not an assumed bundle.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v0.6y</dc:title>
  <dc:subject>Checkpoint 85 TL2 Armor AP/AI and Shield integration architecture</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