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Version 0.7h  •  August 15, 2026  •  Qualitatively reviewed TL1-TL9 technology/component architecture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0.7h</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Qualitatively reviewed TL1-TL9 technology/component architecture / pre-calibration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r>
        <w:t>The accepted TL3 Power base value is Mature Compact Fusion at 6 Operational Tactical Power from a 5-Space Main-Reactor footprint. This is a maturation/miniaturization step rather than a raw-output increase: the current 3/1/0 Degraded/Disabled/Destroyed mapping is held initially, and no new overload, storage, reliability, or auxiliary-generation benefit is bundled. CP102 represents the 6 -&gt; 5 Space change as an explicit miniaturization transition; older reactors remain legal where normal construction permits them, with their additional Space and opportunity cost as the balancing mechanism.</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not evidence that every family follows a universal TL1 -&gt; TL2 -&gt; TL3 maturation cycle. CP105 established explicit family stories; CP106 audited the broader foundation; CP107b native-validated the first provisional TL1-TL9 technology/component placement table; and CP108 qualitatively reviews ownership, default-versus-branch status, player expression, KISS boundaries, and normal-player pinnacle endpoints before any new numerical calibration. Later numerical work should preserve this architecture unless controlled integration evidence identifies a genuine conceptual or balance mismatch.</w:t>
      </w:r>
    </w:p>
    <w:p>
      <w:pPr>
        <w:pStyle w:val="Heading2"/>
      </w:pPr>
      <w:r>
        <w:t>8.7 Complete TL3 base table and executable integration</w:t>
      </w:r>
    </w:p>
    <w:p>
      <w:pPr/>
      <w:r>
        <w:t>The base TL3 row below is the native-accepted CP101 value authority. CP102 native-validated the generalized consumer that implements those values and supports technology-dependent Hull capacity, Space-changing miniaturization, optional-component unlocks, normal operating/readiness modes, capability additions, efficiency changes, performance changes, and explicit holds. Later checkpoints preserve that historical executable integration authority unless a newer accepted change explicitly supersedes it; no table value is promoted merely because its consumer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remains part of the accepted TL3 lock. At TL3, 1 Main/1 Reactor uses 27/36 Space, 2 Main/1 Reactor uses 33/36, 1 Main/2 Reactors uses 32/36, and 2 Main/2 Reactors uses 38/36 and remains illegal. Construction legality remains separate from Tactical Power. One 6-TP reactor can fund two Standard Energy shots plus High Active Sensor exactly, but leaves no TP for PDS, ECM/ECCM, hardening, EvM, or tactical Shield recharge; higher-output dual Energy fire cannot carry that sensor package. Dual-main and dual-reactor ships therefore remain intentional outliers with real Space/Power opportunity costs.</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promotes no hard external research prerequisites. A later component may receive one or two explicit external prerequisites only when the enabling science is genuinely necessary;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Exact TL4-TL9 Space, Tactical Power, damage, penetration, range, capacity, efficiency, and other balance values remain unassigned until controlled numerical passes.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v0.7h</dc:title>
  <dc:subject>Technology progression and player-facing gameplay design authority</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