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0.7i  •  August 15, 2026  •  Complete candidate TL1-TL9 numerical technology matrix / pre-calibration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Complete candidate TL1-TL9 numerical technology matrix / pre-calibration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107b native-validated the first explicit provisional player technology/component table derived from the accepted Technology Family Storyboard. Checkpoint 108 preserves that 10-discipline / 32-lineage / 214-beat foundation while qualitatively reviewing TL placement, lineage ownership, default-versus-branch status, player-facing expression, KISS boundaries, legacy relevance, and pinnacle sanity. Architecture placement still does not itself authorize a new numerical component or production unlock.</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Hangar-driven extra shuttle capacity and later Hull shuttle milestones remain open. CP109 assigns complete TL1-TL9 candidate numerical profiles for the player-facing combat/construction families plus selected branch candidates, but those numbers remain uncalibrated and unpromoted until later controlled studies.</w:t>
      </w:r>
    </w:p>
    <w:p>
      <w:pPr>
        <w:pStyle w:val="Heading2"/>
      </w:pPr>
      <w:r>
        <w:t>8.9 Complete candidate TL1-TL9 numerical matrix</w:t>
      </w:r>
    </w:p>
    <w:p>
      <w:pPr/>
      <w:r>
        <w:t>Checkpoint 109 creates the first complete whole-ladder numerical candidate surface after the Storyboard and CP108 qualitative review. The matrix contains provisional values for all nine TLs of the core Hull, Armor, Reactor, STL, FTL, Tactical Computer, Sensor, ECM, ECCM, Shield, Kinetic Main, Kinetic PDS, Energy Main, Energy PDS, Missile delivery/guidance, and local AMM families, plus explicit numerical candidates for selected specialist branches. It is a design/calibration input,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Earlier TL1-TL3 numerical values are retained as evidence and historical runtime authority, but they are not locked against Storyboard-driven revision. CP109 explicitly reconciles lower-TL areas where the old table cadence conflicts with the family story, including the Power TL2/TL3 Fusion relationship, TL2 Kinetic PDS, TL2 Energy-beam optics, TL2 Missile propulsion/endurance, and the later accepted TL1 Sensor range architecture.</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No Monte Carlo, combat calibration, research-engine study, or numerical promotion is implied by CP109. Later checkpoints should calibrate controlled subsystem slices while retaining standing mixed-TL, nonadjacent-TL, Space/power, legacy-technology, prerequisite, and whole-ship integration checks against the complete candidate matrix.</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v0.7h</dc:title>
  <dc:subject>Technology progression and player-facing gameplay design authority</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