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0.7j  •  August 15, 2026  •  First-pass Power/Reactor calibration / whole-ladder candidate preserved</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0.7j</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First-pass Power/Reactor calibration / whole-ladder candidate preserved</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Hull 12,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12,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Capacity3 / 3 Space held; optional 1-Space Hardener, 1 TP -&gt; SA1</w:t>
            </w:r>
          </w:p>
        </w:tc>
        <w:tc>
          <w:tcPr>
            <w:tcW w:type="dxa" w:w="3331"/>
            <w:vAlign w:val="center"/>
          </w:tcPr>
          <w:p>
            <w:r>
              <w:t>Optional powered support unlock</w:t>
            </w:r>
          </w:p>
        </w:tc>
      </w:tr>
      <w:tr>
        <w:tc>
          <w:tcPr>
            <w:tcW w:type="dxa" w:w="3331"/>
            <w:vAlign w:val="center"/>
          </w:tcPr>
          <w:p>
            <w:r>
              <w:t>Armor</w:t>
            </w:r>
          </w:p>
        </w:tc>
        <w:tc>
          <w:tcPr>
            <w:tcW w:type="dxa" w:w="3331"/>
            <w:vAlign w:val="center"/>
          </w:tcPr>
          <w:p>
            <w:r>
              <w:t>AP1 / AI5</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DAM4, SPEN1/APEN1,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TP/DAM2, 2 TP/DAM3, 3 TP/DAM4; standard/high +25, SPEN1/APEN1</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DAM5/SPEN1/APEN2,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107b native-validated the first explicit provisional player technology/component table derived from the accepted Technology Family Storyboard. Checkpoint 108 preserves that 10-discipline / 32-lineage / 214-beat foundation while qualitatively reviewing TL placement, lineage ownership, default-versus-branch status, player-facing expression, KISS boundaries, legacy relevance, and pinnacle sanity. Architecture placement still does not itself authorize a new numerical component or production unlock.</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Hangar-driven extra shuttle capacity and later Hull shuttle milestones remain open. CP109 assigns complete TL1-TL9 candidate numerical profiles for the player-facing combat/construction families plus selected branch candidates. CP110 has now subjected the Primary Main Reactor Generation ladder to first-pass calibration evidence, but the broader matrix and the Reactor values remain candidates rather than production authority.</w:t>
      </w:r>
    </w:p>
    <w:p>
      <w:pPr>
        <w:pStyle w:val="Heading2"/>
      </w:pPr>
      <w:r>
        <w:t>8.9 Complete candidate TL1-TL9 numerical matrix</w:t>
      </w:r>
    </w:p>
    <w:p>
      <w:pPr/>
      <w:r>
        <w:t>Checkpoint 109 creates the first complete whole-ladder numerical candidate surface after the Storyboard and CP108 qualitative review. The matrix contains provisional values for all nine TLs of the core Hull, Armor, Reactor, STL, FTL, Tactical Computer, Sensor, ECM, ECCM, Shield, Kinetic Main, Kinetic PDS, Energy Main, Energy PDS, Missile delivery/guidance, and local AMM families, plus explicit numerical candidates for selected specialist branches. It is a design/calibration input,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Earlier TL1-TL3 numerical values are retained as evidence and historical runtime authority, but they are not locked against Storyboard-driven revision. CP109 explicitly reconciles lower-TL areas where the old table cadence conflicts with the family story, including the Power TL2/TL3 Fusion relationship, TL2 Kinetic PDS, TL2 Energy-beam optics, TL2 Missile propulsion/endurance, and the later accepted TL1 Sensor range architecture.</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CP109 itself performed no Monte Carlo, combat calibration, research-engine study, or numerical promotion. CP110 begins the controlled calibration phase with Primary Main Reactor Generation while retaining standing mixed-TL, nonadjacent-TL, Space/power, legacy-technology, prerequisite, and whole-ship integration checks against the complete candidate matrix. CP110 does not promote any Reactor value into production.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The accepted TL3 Shield Hardener occupies 1 Installation Space and, while functional and powered, sustains 1 Tactical Power to provide Shield Armor 1.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3 / 3 Space is the cross-TL validated TL2 candidate. The accepted TL3 row holds primary Capacity 3 and introduces an optional 1-Space Shield Hardener that sustains 1 TP for Shield Armor 1; normal hardening is nonstacking and overload remains deferred. CP102 implements the hardener as a separate optional powered component.</w:t>
            </w:r>
          </w:p>
        </w:tc>
      </w:tr>
      <w:tr>
        <w:tc>
          <w:tcPr>
            <w:tcW w:type="dxa" w:w="4997"/>
          </w:tcPr>
          <w:p>
            <w:r>
              <w:t>Armor progression</w:t>
            </w:r>
          </w:p>
        </w:tc>
        <w:tc>
          <w:tcPr>
            <w:tcW w:type="dxa" w:w="4997"/>
          </w:tcPr>
          <w:p>
            <w:r>
              <w:t>AP0/AI5 is the cross-TL validated TL2 armor candidate. The accepted TL3 row is AP1/AI5: Armor Protection advances while Integrity holds, creating a natural penetration breakpoint without bundling another AI increase. CP102 binds AP1/AI5 into the executable profile.</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Shield Armor 1;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The accepted TL3 primary-armor value advances from AP0/AI5 to AP1/AI5; CP102 binds it into the executable profile.</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v0.7j</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v0.7j</dc:title>
  <dc:subject>Checkpoint 110 first-pass Power/Reactor calibration</dc:subject>
  <dc:creator>OpenAI and project owner</dc:creator>
  <cp:keywords>Godot, C#, .NET 8, roguelike, starship, strategy, game design, missiles, terminal guidance, point defense</cp:keywords>
  <dc:description>Checkpoint 101: complete TL3 base conceptual candidate table; not runtime/calibration/promotion authority.</dc:description>
  <cp:lastModifiedBy/>
  <cp:revision>1</cp:revision>
  <dcterms:created xsi:type="dcterms:W3CDTF">2013-12-23T23:15:00Z</dcterms:created>
  <dcterms:modified xsi:type="dcterms:W3CDTF">2026-08-04T13:45:00Z</dcterms:modified>
  <cp:category/>
  <cp:version>0.7b</cp:version>
</cp:coreProperties>
</file>