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0.7o  •  August 16, 2026  •  Executable technology and instrumentation foundation</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0.7o</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Executable technology/instrumentation foundation / no balance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canonical Hull 24,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24,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Capacity6 / 3 Space held; optional 1-Space Hardener, 1 TP -&gt; SA2</w:t>
            </w:r>
          </w:p>
        </w:tc>
        <w:tc>
          <w:tcPr>
            <w:tcW w:type="dxa" w:w="3331"/>
            <w:vAlign w:val="center"/>
          </w:tcPr>
          <w:p>
            <w:r>
              <w:t>Optional powered support unlock</w:t>
            </w:r>
          </w:p>
        </w:tc>
      </w:tr>
      <w:tr>
        <w:tc>
          <w:tcPr>
            <w:tcW w:type="dxa" w:w="3331"/>
            <w:vAlign w:val="center"/>
          </w:tcPr>
          <w:p>
            <w:r>
              <w:t>Armor</w:t>
            </w:r>
          </w:p>
        </w:tc>
        <w:tc>
          <w:tcPr>
            <w:tcW w:type="dxa" w:w="3331"/>
            <w:vAlign w:val="center"/>
          </w:tcPr>
          <w:p>
            <w:r>
              <w:t>AP2 / AI10</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DAM8, SPEN2/APEN2,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TP/DAM4, 2 TP/DAM6, 3 TP/DAM8; standard/high +25, SPEN2/APEN2</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DAM10/SPEN2/APEN4,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123 reconciles the complete technology foundation into a revised whole-system reference baseline after the canonical x2 migration. The active architecture now contains 10 disciplines, 33 lineages, and 218 unique Storyboard beats, with exact one-to-one Tech Table reconciliation. This is a design/reference authority for future testing, not a balance claim or production-runtime promotion.</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CP123 adds explicit reference characteristics where the architecture is mature enough to support them, while leaving campaign-only or specialist support values TBD where evidence does not justify filler numbers.</w:t>
      </w:r>
    </w:p>
    <w:p>
      <w:pPr>
        <w:pStyle w:val="Heading2"/>
      </w:pPr>
      <w:r>
        <w:t>8.9 Complete candidate TL1-TL9 numerical matrix</w:t>
      </w:r>
    </w:p>
    <w:p>
      <w:pPr/>
      <w:r>
        <w:t>Checkpoint 123 supersedes the older whole-ladder candidate as the current revised TL1-TL9 numerical reference baseline. It retains the established Power, propulsion, computing, sensing/EW, and PDS progressions after review, while revising Hull, Damage Control, Armor, Shields, main-weapon family characteristics, and Missile-family separation using the canonical x2 ruler. It remains a hypothesis for subsequent testing,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Historical TL1-TL3 and checkpoint numerical values remain preserved as evidence. CP123 does not rewrite old study inputs. The new reference matrix is the forward-looking baseline for later test construction and explicitly separates Missile delivery, guidance/seeker, GP warhead yield, and Swarmer Flight characteristics.</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CP123 performs no Monte Carlo, combat calibration, new scenario study, or numerical production promotion. Its purpose is to establish a coherent whole-system baseline to test next. Subsequent testing should use matched, cross-TL and combinatorial methods and may reject or revise any CP123 value.</w:t>
      </w:r>
    </w:p>
    <w:p>
      <w:pPr/>
      <w:r>
        <w:t>CP123 reference-baseline highlights: Hull 24→34 across TL1→TL9; Damage Control Hull-per-kit 1→2→3 at TL1/TL7/TL9; Kinetic smart-projectile ACC maturation at TL4/TL6; separate Missile delivery/guidance/GP/Swarmer profiles; GP D10→D11→D13→D15; and a distinct TL2+ two-packet Swarmer branch. These are the baseline characteristics to test next, not a statement that balance has been proven.</w:t>
      </w:r>
    </w:p>
    <w:p>
      <w:pPr>
        <w:pStyle w:val="Heading2"/>
      </w:pPr>
      <w:r>
        <w:t>8.10 Executable technology and instrumentation foundation</w:t>
      </w:r>
    </w:p>
    <w:p>
      <w:pPr/>
      <w:r>
        <w:t>Checkpoint 124 binds the accepted CP123 20 x 9 numerical reference profiles directly into a reusable executable research catalog without changing the CP123 values or the accepted CP122 production mechanics. The exhaustive same-TL structural envelope contains 14,112 raw build combinations and 9,427 legal builds. Residual Installation Space is recorded explicitly as zero-tactical-effect mission/AUX capacity when numerical mission consumers are not yet defined; it is a missing-consumer diagnostic, not a balance failure.</w:t>
      </w:r>
    </w:p>
    <w:p>
      <w:pPr/>
      <w:r>
        <w:t>The foundation includes 70 zero-weight pipeline smoke variants that exercise Kinetic, Energy, GP Missile, and Swarmer paths across mirrored movement orders. These one-trial executions prove catalog-to-consumer plumbing only. They are not balance evidence and must not be used to promote or reject CP123 numerical values.</w:t>
      </w:r>
    </w:p>
    <w:p>
      <w:pPr/>
      <w:r>
        <w:t>Instrumentation correctness is an acceptance gate. The raw telemetry contract defines ownership and units for 47 metrics, and nine deterministic probes verify damage-layer accounting, Missile profile composition, TL1/TL7/TL9 Damage Control yield, failed repair accounting, non-additive ECM/ECCM redundancy, Missile launch-versus-terminal-hit ownership, and telemetry-schema completeness. Derived analysis must remain reconstructible from raw counters; in particular, attacker-side Missile launches and target-side terminal Missile hits must not be conflated.</w:t>
      </w:r>
    </w:p>
    <w:p>
      <w:pPr/>
      <w:r>
        <w:t>Checkpoint 124 deliberately does not claim coverage of the C# internal critical/subsystem-damage model, and the Python Missile travel consumer remains an ETA-to-terminal abstraction rather than evidence for the full moving-target range-exhaustion mechanic. After this instrumentation acceptance gate passes, larger same-TL and then mixed/cross-TL studies should reuse this foundation directly; another instrumentation-only checkpoint should be created only if a later substantive study exposes a genuine measurement blocker.</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Their tactical flexibility is deliberately asymmetric and should remain KISS-friendly: Energy weapons primarily vary power/output mode; Kinetic weapons primarily improve through automatic compatible projectile and fire-control maturation rather than a routine ammunition menu; Missile weapons primarily improve through delivery/guidance and general-purpose payload yield, with a small number of genuinely distinct missile-family branches such as a Swarmer Flight.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architecture now explicitly separates delivery/propulsion, guidance/seeker, and GP payload yield. The CP123 GP reference is D10/SPEN2/APEN4 at TL1-2, D11 at TL3-4, D13 Fusion GP at TL5-6 with Power TL2, and D15 Antimatter GP at TL7+ with Power TL5; SPEN/APEN do not automatically rise with yield. The distinct Swarmer Flight is a TL2+ branch with two bounded internal packets and coverage/PDS-saturation maturation, while shaped, shield-disruption, radiation, matter-conversion, and similar specialist warheads remain deferred unless a later gameplay need justifies the extra choice.</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Beginning with CP122, active combat damage-domain quantities use a canonical x2 integer ruler: one historical point equals two canonical points. DAM, SPEN, APEN, Shield Capacity/recharge/Shield Armor, Armor Protection/Integrity, Hull, and direct point-sized effects use this ruler when implemented. CP123 is the first whole-system reference pass to use odd canonical values selectively as real midpoint characteristics; their presence in the table is a design hypothesis, not balance evidence.</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Under the canonical x2 point-domain ruler, the accepted TL3 Shield Hardener occupies 1 Installation Space and, while functional and powered, sustains 1 Tactical Power to provide Shield Armor 2.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remains an automatic Critical Hit. The additional precision/critical effects beyond automatic hit are deferred while the internal critical system is completed. CP122 does not promote or mechanically rescale the earlier provisional +1 shield-damage, +1 armor-penetration, or additional seeded component-step concepts; those magnitudes and their interaction with the canonical x2 damage ruler must be defined in the dedicated critical-system pass.</w:t>
      </w:r>
    </w:p>
    <w:p>
      <w:pPr>
        <w:pStyle w:val="ListBullet"/>
      </w:pPr>
      <w:r>
        <w:t>Internal H/X critical cadence under the canonical x2 Hull ruler is deferred until the critical system is fully implemented. The persistent hidden H/X stream remains the intended conceptual model for internal damage as Hull is lost, but CP122 does not define a canonical-Hull-points-per-H/X-position conversion and does not change critical frequency. Future implementation must establish that mapping explicitly rather than inferring one H/X advance per canonical Hull point.</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canonical Hull. CP122 intentionally keeps this yield at 1 after the x2 Hull migration rather than doubling it for gameplay parity.</w:t>
      </w:r>
    </w:p>
    <w:p>
      <w:pPr>
        <w:pStyle w:val="ListBullet"/>
      </w:pPr>
      <w:r>
        <w:t>The CP123 reference Damage Control progression begins at 70% Degraded-to-Operational, 50% Disabled-to-Degraded, and 40% Hull repair with exactly 1 canonical Hull per successful kit at TL1. Predictive diagnostics raise the standard chances to 75/55/45 at TL3. Self-healing structural materials raise them to 80/60/50 and 2 Hull per successful kit at TL7; the TL9 autonomous reconstruction reference is 85/65/55 and 3 Hull per successful kit. Optional drones, fabricators, and programmable patches remain separate support choices. These values are unvalidated reference characteristics for future testing.</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6 / 3 Space is the canonical-x2 form of the cross-TL validated TL2 candidate. The accepted TL3 row holds primary Capacity 6 and introduces an optional 1-Space Shield Hardener that sustains 1 TP for Shield Armor 2; normal hardening is nonstacking and overload remains deferred. CP102 implements the hardener as a separate optional powered component; CP122 changes only the point-domain ruler.</w:t>
            </w:r>
          </w:p>
        </w:tc>
      </w:tr>
      <w:tr>
        <w:tc>
          <w:tcPr>
            <w:tcW w:type="dxa" w:w="4997"/>
          </w:tcPr>
          <w:p>
            <w:r>
              <w:t>Armor progression</w:t>
            </w:r>
          </w:p>
        </w:tc>
        <w:tc>
          <w:tcPr>
            <w:tcW w:type="dxa" w:w="4997"/>
          </w:tcPr>
          <w:p>
            <w:r>
              <w:t>AP0/AI10 is the canonical-x2 form of the cross-TL validated TL2 armor candidate. The accepted TL3 row is AP2/AI10: Armor Protection advances while Integrity holds, preserving the same penetration relationship under the x2 ruler. CP102 binds the profile; CP122 changes only its numerical representation.</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canonical Shield Armor 2;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t>One prepared unit of combat repair supplies consumed by a Damage Control attempt whether it succeeds or fails. At the CP122 TL1 baseline, a successful Hull-repair use restores exactly 1 canonical Hull; later Hull technology may improve that bounded yield.</w:t>
            </w:r>
            <w:r>
              <w:rPr>
                <w:b w:val="0"/>
              </w:rPr>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Under the canonical x2 ruler, the accepted TL3 primary-armor value advances from AP0/AI10 to AP2/AI10; CP122 preserves the same underlying relationship while doubling point-domain resolution.</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v0.7o</dc:title>
  <dc:subject>Living authority for Star Cluster game concepts and player-facing mechanics; CP124 executable technology and instrumentation foundation</dc:subject>
  <dc:creator>OpenAI and project owner</dc:creator>
  <cp:keywords>Godot, C#, .NET 8, roguelike, starship, strategy, game design, missiles, terminal guidance, point defense</cp:keywords>
  <dc:description>Checkpoint 123: whole-system TL1-TL9 technology baseline consolidation; reference-only; no balance calibration.</dc:description>
  <cp:lastModifiedBy/>
  <cp:revision>1</cp:revision>
  <dcterms:created xsi:type="dcterms:W3CDTF">2013-12-23T23:15:00Z</dcterms:created>
  <dcterms:modified xsi:type="dcterms:W3CDTF">2026-08-04T13:45:00Z</dcterms:modified>
  <cp:category/>
  <cp:version>0.7o</cp:version>
</cp:coreProperties>
</file>