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D9E2F3"/>
              </w:rPr>
              <w:t>STAR CLUSTER</w:t>
              <w:br/>
              <w:t>Game Concept &amp; Design Draft</w:t>
              <w:br/>
              <w:t>Version 0.7o  •  August 16, 2026  •  Executable technology and instrumentation foundation</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0.7o</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16,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Executable technology/instrumentation foundation / no balance calibration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t>One shuttle at campaign start; later Hull TL or a Hangar/Mission Bay refit may permit additional shuttle capacity.</w:t>
            </w:r>
            <w:r>
              <w:rPr>
                <w:b w:val="0"/>
              </w:rPr>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canonical Hull 24,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CP109 whole-ladder numerical candidate revises Early Practical Fusion to 7 Operational / 3 Degraded / 0 Emergency Tactical Power from a 6-Space Main-Reactor footprint, versus the TL1 5/3/1 Peak-Fission reference. This intentionally makes practical Fusion a genuine output-frontier jump while giving the immature family poorer damaged-state resilience. The earlier 6-TP TL2 seed remains historical evidence from the pre-Storyboard incremental ladder rather than a lock. Mature TL1 reactors remain stackable where ship architecture permits; their real additional Space and opportunity cost remains the balancing mechanism rather than an arbitrary anti-stacking rule.</w:t>
      </w:r>
    </w:p>
    <w:p>
      <w:pPr/>
      <w:r>
        <w:t>The CP101/CP102 executable TL3 seed remains Mature Compact Fusion at 6 Operational Tactical Power from a 5-Space Main-Reactor footprint, but CP109 does not treat that historical value as locked. The whole-ladder candidate keeps the TL2 Fusion frontier at 7 Operational TP and matures it at TL3 through a 5-Space footprint plus 4 Degraded / 1 Emergency TP. This is deliberately a compactness/resilience maturation step rather than another peak-output increase. The runtime continues to use the previously implemented seed until a later calibration/promotion checkpoint explicitly changes production data.</w:t>
      </w:r>
    </w:p>
    <w:p>
      <w:pPr/>
      <w:r>
        <w:t>Checkpoint 110 performs the first substantive Storyboard-era Power/Reactor calibration against the complete CP109 candidate environment. The study exhaustively enumerates 18,006 legal standard one-Reactor cruiser builds across TL1-TL9, selects 72 deterministic representative loadouts, and evaluates 288 stochastic loadout/doctrine variants using 7,025,000 adaptive turn-demand samples. Sampling uses a 95% Wilson half-width target of 0.004 after a 20,000-sample minimum, with a 60,000-sample maximum per variant. Full simultaneous demand remains a stress diagnostic rather than a requirement that one Reactor power every installed system at once.</w:t>
      </w:r>
    </w:p>
    <w:p>
      <w:pPr/>
      <w:r>
        <w:t>The CP110 evidence retains all nine CP109 primary Reactor candidates unchanged as first-pass calibrated working candidates. The intended frontier/maturation rhythm is visible numerically: TL2 Early Fusion, TL5 Early Antimatter, and TL8 early Matter Conversion gain operational capability while accepting poor damaged-state resilience; TL3 and TL6 mature the family through smaller footprint and better Degraded/Emergency output without another peak-output increase; TL4 and TL7 push mature-family output; TL9 Total Matter Conversion is a deliberate pinnacle jump. At TL2, TL5, and TL8, predecessor or specialist Reactor families remain on the numerical Pareto frontier rather than being automatically erased.</w:t>
      </w:r>
    </w:p>
    <w:p>
      <w:pPr/>
      <w:r>
        <w:t>CP110 also flags, but does not retune around, the growing feasibility of two-Reactor installations at high TL. The same non-Reactor package can accept a second current-TL Reactor in about 47% of enumerated TL6 builds, 71% at TL7, 97% at TL8, and all TL9 builds. This is an integration watch item because higher-TL Hull capacity and miniaturization currently outpace the still-unnumerical AUX/mission-system competition for Space. Energy Storage and auxiliary generation are intentionally excluded from this first sustained-generation pass and should be calibrated separately because storage changes inter-turn power allocation rather than sustained generation.</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and executable-history evidence, not locks and not evidence that every family follows a universal TL1 -&gt; TL2 -&gt; TL3 maturation cycle. CP105 established explicit family stories; CP106 audited the broader foundation; CP107b native-validated the first provisional TL1-TL9 technology/component placement table; CP108 qualitatively reviewed ownership, default-versus-branch status, player expression, KISS boundaries, legacy relevance, and normal-player pinnacle endpoints; and CP109 derives the first complete candidate numerical TL1-TL9 matrix from that architecture without calibration. Where the Storyboard exposes an old incremental-ladder artifact, CP109 may revise even a previously accepted lower-TL candidate while leaving historical runtime evidence intact until later promotion.</w:t>
      </w:r>
    </w:p>
    <w:p>
      <w:pPr>
        <w:pStyle w:val="Heading2"/>
      </w:pPr>
      <w:r>
        <w:t>8.7 Complete TL3 base table and executable integration</w:t>
      </w:r>
    </w:p>
    <w:p>
      <w:pPr/>
      <w:r>
        <w:t>The base TL3 row below records the native-accepted CP101/CP102 executable seed and remains the production/runtime historical authority until a later checkpoint explicitly promotes a replacement. CP109 may carry different candidate lower-TL values in the whole-ladder design matrix because Storyboard-era architecture supersedes the old assumption of uniformly incremental TL1-TL3 progression. Candidate != implemented != calibrated != promoted; no table value becomes production authority merely because the generalized consumer already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24,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Capacity6 / 3 Space held; optional 1-Space Hardener, 1 TP -&gt; SA2</w:t>
            </w:r>
          </w:p>
        </w:tc>
        <w:tc>
          <w:tcPr>
            <w:tcW w:type="dxa" w:w="3331"/>
            <w:vAlign w:val="center"/>
          </w:tcPr>
          <w:p>
            <w:r>
              <w:t>Optional powered support unlock</w:t>
            </w:r>
          </w:p>
        </w:tc>
      </w:tr>
      <w:tr>
        <w:tc>
          <w:tcPr>
            <w:tcW w:type="dxa" w:w="3331"/>
            <w:vAlign w:val="center"/>
          </w:tcPr>
          <w:p>
            <w:r>
              <w:t>Armor</w:t>
            </w:r>
          </w:p>
        </w:tc>
        <w:tc>
          <w:tcPr>
            <w:tcW w:type="dxa" w:w="3331"/>
            <w:vAlign w:val="center"/>
          </w:tcPr>
          <w:p>
            <w:r>
              <w:t>AP2 / AI10</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DAM8, SPEN2/APEN2,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TP/DAM4, 2 TP/DAM6, 3 TP/DAM8; standard/high +25, SPEN2/APEN2</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DAM10/SPEN2/APEN4,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for the accepted CP101/CP102 TL3 executable seed remains historical integration evidence. At that seed, 1 Main/1 Reactor uses 27/36 Space, 2 Main/1 Reactor uses 33/36, 1 Main/2 Reactors uses 32/36, and 2 Main/2 Reactors uses 38/36 and remains illegal. CP109 independently recomputes whole-ladder candidate Space sanity from its provisional profiles; it does not treat the earlier 6-TP reactor envelope as a balance lock. Construction legality remains separate from Tactical Power, and dual-main/dual-reactor configurations continue to be evaluated as conscious Space/power tradeoffs rather than prohibited by rule.</w:t>
      </w:r>
    </w:p>
    <w:p>
      <w:pPr>
        <w:pStyle w:val="Heading2"/>
      </w:pPr>
      <w:r>
        <w:t>8.8 Qualitatively reviewed TL1-TL9 technology/component architecture</w:t>
      </w:r>
    </w:p>
    <w:p>
      <w:pPr/>
      <w:r>
        <w:t>Checkpoint 123 reconciles the complete technology foundation into a revised whole-system reference baseline after the canonical x2 migration. The active architecture now contains 10 disciplines, 33 lineages, and 218 unique Storyboard beats, with exact one-to-one Tech Table reconciliation. This is a design/reference authority for future testing, not a balance claim or production-runtime promotion.</w:t>
      </w:r>
    </w:p>
    <w:p>
      <w:pPr>
        <w:pStyle w:val="ListBullet"/>
      </w:pPr>
      <w:r>
        <w:t>The normal player research ladder remains TL1-TL9 across ten visible disciplines. Each discipline retains a useful vertical spine, but individual component families may have quiet TLs. A specialist branch can unlock at a TL without replacing the standard family, and no filler upgrade is created merely to occupy a chart cell.</w:t>
      </w:r>
    </w:p>
    <w:p>
      <w:pPr>
        <w:pStyle w:val="ListBullet"/>
      </w:pPr>
      <w:r>
        <w:t>Every Storyboard beat now has a provisional player-expression class: installed component, optional component, automatic architecture/capability, operating mode, payload variant, campaign capability, infrastructure, supporting research, deferred concept, or Precursor exception. A research beat therefore need not manufacture another installed component when its correct expression is integration, ammunition, infrastructure, automation, or a bounded capability.</w:t>
      </w:r>
    </w:p>
    <w:p>
      <w:pPr>
        <w:pStyle w:val="ListBullet"/>
      </w:pPr>
      <w:r>
        <w:t>Related research remains non-gating metadata. CP108 promoted no hard external research prerequisites; CP109 now introduces a sparse candidate hard-prerequisite layer only where enabling science is genuinely necessary. A technology normally has zero external prerequisites and may occasionally have one or two. If its owning TL is already complete, it unlocks automatically when the final missing prerequisite TL is researched, with no second research project or extra unlock cost. Such gates must not turn broad research into a blanket requirement for normal owning-discipline progression.</w:t>
      </w:r>
    </w:p>
    <w:p>
      <w:pPr>
        <w:pStyle w:val="ListBullet"/>
      </w:pPr>
      <w:r>
        <w:t>Strict improvements should normally become automatic extensions, while manual modes are reserved for real tactical tradeoffs. Powered specialist defenses remain distinct from passive primary Armor; branch weapons remain alternate expressions rather than automatic replacements; and normal-player TL9 information systems remain probabilistic and observer-safe rather than precognitive or omniscient.</w:t>
      </w:r>
    </w:p>
    <w:p>
      <w:pPr>
        <w:pStyle w:val="ListBullet"/>
      </w:pPr>
      <w:r>
        <w:t>Optional support/AUX components use the same universal Installation Space as all other installed systems. A support component belongs only when it materially changes what the player can do, what risk they face, or how efficiently they perform an existing gameplay activity. The reviewed catalog includes 35 provisional support candidates, including Medical Bay, Fuel Processor, Fabricator, Laboratory, mining/extraction, cargo and magazine expansion, communications, mission packages, Probe / Survey Drone Package, Shield-support systems, and Hangar / Mission Bay.</w:t>
      </w:r>
    </w:p>
    <w:p>
      <w:pPr>
        <w:pStyle w:val="ListBullet"/>
      </w:pPr>
      <w:r>
        <w:t>The reviewed architecture carries forward one starting shuttle, the current tactical Fuel working scale of 100 / 2 per traversed hex / +1 per EvM turn, and a 1-Space TL1 Ablative Armor option. CP123 adds explicit reference characteristics where the architecture is mature enough to support them, while leaving campaign-only or specialist support values TBD where evidence does not justify filler numbers.</w:t>
      </w:r>
    </w:p>
    <w:p>
      <w:pPr>
        <w:pStyle w:val="Heading2"/>
      </w:pPr>
      <w:r>
        <w:t>8.9 Complete candidate TL1-TL9 numerical matrix</w:t>
      </w:r>
    </w:p>
    <w:p>
      <w:pPr/>
      <w:r>
        <w:t>Checkpoint 123 supersedes the older whole-ladder candidate as the current revised TL1-TL9 numerical reference baseline. It retains the established Power, propulsion, computing, sensing/EW, and PDS progressions after review, while revising Hull, Damage Control, Armor, Shields, main-weapon family characteristics, and Missile-family separation using the canonical x2 ruler. It remains a hypothesis for subsequent testing, not production data.</w:t>
      </w:r>
    </w:p>
    <w:p>
      <w:pPr/>
      <w:r>
        <w:t>Progression is intentionally uneven. Family introductions such as practical Fusion, early Antimatter, and later field/inertial principles may create larger adjacent-TL frontier jumps; maturation steps may instead hold the headline statistic while improving Space, efficiency, damaged-state behavior, readiness, integration, or safe modes. Quiet family TLs remain valid and are represented as holds rather than filler upgrades.</w:t>
      </w:r>
    </w:p>
    <w:p>
      <w:pPr/>
      <w:r>
        <w:t>Historical TL1-TL3 and checkpoint numerical values remain preserved as evidence. CP123 does not rewrite old study inputs. The new reference matrix is the forward-looking baseline for later test construction and explicitly separates Missile delivery, guidance/seeker, GP warhead yield, and Swarmer Flight characteristics.</w:t>
      </w:r>
    </w:p>
    <w:p>
      <w:pPr/>
      <w:r>
        <w:t>Candidate hard prerequisites are sparse and causal. Most cross-pollinated technologies are optional branches, while only a small minority of normal-spine items depend on an external enabling breakthrough. Tall research therefore continues to produce meaningful native progress; wide research unlocks additional integrations and specialist technologies. All such gated items use automatic unlock when their final prerequisite becomes available.</w:t>
      </w:r>
    </w:p>
    <w:p>
      <w:pPr/>
      <w:r>
        <w:t>CP123 performs no Monte Carlo, combat calibration, new scenario study, or numerical production promotion. Its purpose is to establish a coherent whole-system baseline to test next. Subsequent testing should use matched, cross-TL and combinatorial methods and may reject or revise any CP123 value.</w:t>
      </w:r>
    </w:p>
    <w:p>
      <w:pPr/>
      <w:r>
        <w:t>CP123 reference-baseline highlights: Hull 24→34 across TL1→TL9; Damage Control Hull-per-kit 1→2→3 at TL1/TL7/TL9; Kinetic smart-projectile ACC maturation at TL4/TL6; separate Missile delivery/guidance/GP/Swarmer profiles; GP D10→D11→D13→D15; and a distinct TL2+ two-packet Swarmer branch. These are the baseline characteristics to test next, not a statement that balance has been proven.</w:t>
      </w:r>
    </w:p>
    <w:p>
      <w:pPr>
        <w:pStyle w:val="Heading2"/>
      </w:pPr>
      <w:r>
        <w:t>8.10 Executable technology and instrumentation foundation</w:t>
      </w:r>
    </w:p>
    <w:p>
      <w:pPr/>
      <w:r>
        <w:t>Checkpoint 124 binds the accepted CP123 20 x 9 numerical reference profiles directly into a reusable executable research catalog without changing the CP123 values or the accepted CP122 production mechanics. The exhaustive same-TL structural envelope contains 14,112 raw build combinations and 9,427 legal builds. Residual Installation Space is recorded explicitly as zero-tactical-effect mission/AUX capacity when numerical mission consumers are not yet defined; it is a missing-consumer diagnostic, not a balance failure.</w:t>
      </w:r>
    </w:p>
    <w:p>
      <w:pPr/>
      <w:r>
        <w:t>The foundation includes 70 zero-weight pipeline smoke variants that exercise Kinetic, Energy, GP Missile, and Swarmer paths across mirrored movement orders. These one-trial executions prove catalog-to-consumer plumbing only. They are not balance evidence and must not be used to promote or reject CP123 numerical values.</w:t>
      </w:r>
    </w:p>
    <w:p>
      <w:pPr/>
      <w:r>
        <w:t>Instrumentation correctness is an acceptance gate. The raw telemetry contract defines ownership and units for 47 metrics, and nine deterministic probes verify damage-layer accounting, Missile profile composition, TL1/TL7/TL9 Damage Control yield, failed repair accounting, non-additive ECM/ECCM redundancy, Missile launch-versus-terminal-hit ownership, and telemetry-schema completeness. Derived analysis must remain reconstructible from raw counters; in particular, attacker-side Missile launches and target-side terminal Missile hits must not be conflated.</w:t>
      </w:r>
    </w:p>
    <w:p>
      <w:pPr/>
      <w:r>
        <w:t>Checkpoint 124 deliberately does not claim coverage of the C# internal critical/subsystem-damage model, and the Python Missile travel consumer remains an ETA-to-terminal abstraction rather than evidence for the full moving-target range-exhaustion mechanic. After this instrumentation acceptance gate passes, larger same-TL and then mixed/cross-TL studies should reuse this foundation directly; another instrumentation-only checkpoint should be created only if a later substantive study exposes a genuine measurement blocker.</w:t>
      </w:r>
    </w:p>
    <w:p>
      <w:pPr>
        <w:pStyle w:val="Heading2"/>
      </w:pPr>
      <w:r>
        <w:t>8.11 Pure-TL whole-ladder integrated progression study</w:t>
      </w:r>
    </w:p>
    <w:p>
      <w:pPr/>
      <w:r>
        <w:t>Checkpoint 125 uses the accepted CP123 numerical baseline and CP124 executable/instrumentation foundation for the first large whole-ladder combat study. Every individual ship remains technologically homogeneous: all installed standard component profiles resolve at one TL. Opponents may be any TL1-TL9, so a coherent TL4 ship can fight a coherent TL7 ship without either vessel becoming a mixed-TL design. Mixed-generation refit/legacy ships remain a separate future study.</w:t>
      </w:r>
    </w:p>
    <w:p>
      <w:pPr/>
      <w:r>
        <w:t>The study retains all 9,427 legal CP124 builds and represents the full 44,429,451-pair legal population with 70,034 deterministic population-weighted base pairings. Every legal build participates against every opponent TL, producing 84,843 build/opponent-TL coverage relationships. Every base pairing is mirrored across both side assignments and both movement orders, yielding 280,136 execution variants across all 45 canonical and 81 ordered TL cells.</w:t>
      </w:r>
    </w:p>
    <w:p>
      <w:pPr/>
      <w:r>
        <w:t>Native acceptance first executes one trial for every planned variant as a full-pipeline gate. The substantive pass then executes 200 trials per variant, for 56,027,200 engagements. Primary analysis includes the complete 9 x 9 ordered TL matrix, Delta-TL progression, weapon/payload-family matchups, raw telemetry by TL cell, per-build performance against every opponent TL, and movement-order sensitivity.</w:t>
      </w:r>
    </w:p>
    <w:p>
      <w:pPr/>
      <w:r>
        <w:t>Balance signals are not blocking gates. CP125 does not require a fixed win-rate advantage for TL+1 or any other generation distance, and it does not automatically promote or revise a numerical value. Population-level progression, specialization, power pressure, information control, PDS, layered defense and mover-order effects are review evidence that will determine later focused calibration. The CP124 consumer limits remain explicit: internal critical/subsystem damage is absent, Python Missile travel is not full production moving-target/range-exhaustion parity, Damage Control is not scheduled into these encounters, and residual mission/AUX capacity has no tactical effect. After this pure-generation control study, mixed-TL ships may be introduced in a later pass.</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 As a KISS guardrail, an optional support/AUX component should exist only when it materially changes what the player can do, what risk they face, or how efficiently they perform an existing gameplay activity; realistic but non-decision-bearing engineering remains abstracted into Hull, Space, power, traits, or condition.</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Their tactical flexibility is deliberately asymmetric and should remain KISS-friendly: Energy weapons primarily vary power/output mode; Kinetic weapons primarily improve through automatic compatible projectile and fire-control maturation rather than a routine ammunition menu; Missile weapons primarily improve through delivery/guidance and general-purpose payload yield, with a small number of genuinely distinct missile-family branches such as a Swarmer Flight.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3"/>
      </w:pPr>
      <w:r>
        <w:t>10.4.1 Kinetic projectile and Missile family expression</w:t>
      </w:r>
    </w:p>
    <w:p>
      <w:pPr>
        <w:pStyle w:val="ListBullet"/>
      </w:pPr>
      <w:r>
        <w:t>Normal Kinetic ammunition matures automatically with compatible projectile technology. Improved penetrator materials, programmable fuzing, maneuvering correction, and later smart-projectile guidance should normally appear as family improvements when they have no meaningful downside; the obsolete round does not remain as a false player choice. Distinct Kinetic branches such as macron/dust accelerators may still exist as separate installed weapon families when their launcher and tactical behavior are genuinely different, but the baseline Kinetic weapon does not require a per-shot ammunition selector.</w:t>
      </w:r>
    </w:p>
    <w:p>
      <w:pPr>
        <w:pStyle w:val="ListBullet"/>
      </w:pPr>
      <w:r>
        <w:t>Kinetic projectile compatibility remains explicit. Legacy electromagnetic accelerators, smart-munition accelerators, specialized macron/dust systems, and field/relativistic accelerators may support different generations of projectile technology. Researching a projectile improvement does not automatically make every old or alternate weapon family compatible with it.</w:t>
      </w:r>
    </w:p>
    <w:p>
      <w:pPr>
        <w:pStyle w:val="ListBullet"/>
      </w:pPr>
      <w:r>
        <w:t>The normal Missile architecture now explicitly separates delivery/propulsion, guidance/seeker, and GP payload yield. The CP123 GP reference is D10/SPEN2/APEN4 at TL1-2, D11 at TL3-4, D13 Fusion GP at TL5-6 with Power TL2, and D15 Antimatter GP at TL7+ with Power TL5; SPEN/APEN do not automatically rise with yield. The distinct Swarmer Flight is a TL2+ branch with two bounded internal packets and coverage/PDS-saturation maturation, while shaped, shield-disruption, radiation, matter-conversion, and similar specialist warheads remain deferred unless a later gameplay need justifies the extra choice.</w:t>
      </w:r>
    </w:p>
    <w:p>
      <w:pPr>
        <w:pStyle w:val="ListBullet"/>
      </w:pPr>
      <w:r>
        <w:t>Normal Kinetic projectiles and normal Missile families continue to use broad magazine accounting. One Kinetic attack spends one Kinetic Ammunition Package and one standard or Swarmer launch spends one Missile Flight unless an explicit weapon profile says otherwise. Do not require pre-battle subtype allocations for ordinary munitions. Rare, unique, alien, Precursor, or explicitly Exotic ammunition may use individual shot counts when scarcity itself is gameplay.</w:t>
      </w:r>
    </w:p>
    <w:p>
      <w:pPr>
        <w:pStyle w:val="ListBullet"/>
      </w:pPr>
      <w:r>
        <w:t>Sparse cross-discipline prerequisites are permitted when they represent genuine enabling science or integration. A dependent ammunition/warhead capability unlocks automatically when its owning technology and the final external prerequisite are both complete; it does not require a second research project or unlock cost.</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uses Evasive Compensation +5 percentage points while holding ordinary targeting assistance at +12 and the Approximate-track degraded-fire penalty at -25. CP102 implements this compensation so it reduces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A Firm track may also support qualitative combat assessment when the effect is legitimately observable: an active shield may be identified once energized or conspicuously struck; impacts may be assessed as shield absorption, shield collapse, armor contact, confirmed Hull penetration, or no observed Armor/Hull penetration. A later Firm observation may show that a previously collapsed or damaged shield is active again. This feedback exists so the player can recognize an ineffective attack without receiving hidden arithmetic.</w:t>
      </w:r>
    </w:p>
    <w:p>
      <w:pPr>
        <w:pStyle w:val="ListBullet"/>
      </w:pPr>
      <w:r>
        <w:t>Combat assessment does not normally reveal exact hostile Shield Capacity, Shield Armor, recharge rate, Armor Protection/Integrity, hidden component statistics, ECM/ECCM arithmetic, or future outcomes. Approximate contacts receive only conspicuous and uncertain impact evidence by default. The AI receives the same derived assessment flags and remembered observations rather than authoritative hidden defender state.</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and one terminal attack roll. A standard GP Flight normally resolves one damage packet. A profile such as a Swarmer may resolve a small bounded set of internal submunition packets after that same single terminal attack roll; this does not create extra counters, extra natural-100 chances, or extra independent flight actions.</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including the baseline Swarmer branch, remain Firm-terminal-solution systems unless a specific later profile explicitly says otherwise. A future purpose-built volume-barrage missile may eventually gain an Approximate-target terminal capability, but that is a separate missile-specific rule with its own acquisition, search, ammunition, and effectiveness costs. It is not automatically granted by the Swarmer name, does not inherit the direct-fire degraded-fire trait, and does not silently relax baseline command-guided or seeker requirements.</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 A purpose-built Swarmer profile may carry a bounded PDS-saturation trait that makes the package harder to defeat, but it still uses the ordinary reaction windows and a successful standard PDS engagement still defeats the attack package; do not multiply counters or reaction windows to represent the submunitions.</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Beginning with CP122, active combat damage-domain quantities use a canonical x2 integer ruler: one historical point equals two canonical points. DAM, SPEN, APEN, Shield Capacity/recharge/Shield Armor, Armor Protection/Integrity, Hull, and direct point-sized effects use this ruler when implemented. CP123 is the first whole-system reference pass to use odd canonical values selectively as real midpoint characteristics; their presence in the table is a design hypothesis, not balance evidence.</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 Under the canonical x2 point-domain ruler, the accepted TL3 Shield Hardener occupies 1 Installation Space and, while functional and powered, sustains 1 Tactical Power to provide Shield Armor 2. Its normal hardening does not stack with another identical hardener, and no overload benefit is promoted. CP102 implements it as a separate optional component rather than an automatic base-shield statistic.</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The TL1 Ablative Armor layer costs 1 Installation Space,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remains an automatic Critical Hit. The additional precision/critical effects beyond automatic hit are deferred while the internal critical system is completed. CP122 does not promote or mechanically rescale the earlier provisional +1 shield-damage, +1 armor-penetration, or additional seeded component-step concepts; those magnitudes and their interaction with the canonical x2 damage ruler must be defined in the dedicated critical-system pass.</w:t>
      </w:r>
    </w:p>
    <w:p>
      <w:pPr>
        <w:pStyle w:val="ListBullet"/>
      </w:pPr>
      <w:r>
        <w:t>Internal H/X critical cadence under the canonical x2 Hull ruler is deferred until the critical system is fully implemented. The persistent hidden H/X stream remains the intended conceptual model for internal damage as Hull is lost, but CP122 does not define a canonical-Hull-points-per-H/X-position conversion and does not change critical frequency. Future implementation must establish that mapping explicitly rather than inferring one H/X advance per canonical Hull point.</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canonical Hull. CP122 intentionally keeps this yield at 1 after the x2 Hull migration rather than doubling it for gameplay parity.</w:t>
      </w:r>
    </w:p>
    <w:p>
      <w:pPr>
        <w:pStyle w:val="ListBullet"/>
      </w:pPr>
      <w:r>
        <w:t>The CP123 reference Damage Control progression begins at 70% Degraded-to-Operational, 50% Disabled-to-Degraded, and 40% Hull repair with exactly 1 canonical Hull per successful kit at TL1. Predictive diagnostics raise the standard chances to 75/55/45 at TL3. Self-healing structural materials raise them to 80/60/50 and 2 Hull per successful kit at TL7; the TL9 autonomous reconstruction reference is 85/65/55 and 3 Hull per successful kit. Optional drones, fabricators, and programmable patches remain separate support choices. These values are unvalidated reference characteristics for future testing.</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Kinetic Ammunition Package per attack. Missile launchers consume one Missile Flight per launch. Battery systems consume one charge per activation. Energy weapons normally consume power but no ammunition. Normal Kinetic projectile variants and normal Missile warhead variants do not create separate subtype inventories.</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Normal compatible projectile/warhead modes draw from those broad stores regardless of the mode chosen; do not require pre-battle allocations such as separate penetrator, EMP, shaped-charge, or general-purpose counts. Rare/unique/alien/Precursor or explicitly Exotic munitions may be individually counted when scarcity is itself a strategic or tactical decision. Explosive, inert, armored, isolated, insensitive, and volatile behavior remains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has exactly one shuttle. It is a finite, valuable small craft used for survey, extraction, trade, rescue, planetary interaction, and boarding. Later Hull TL may increase ordinary shuttle/hangar capability. A Space-consuming Hangar/Mission Bay is also a candidate route to additional or heavier small craft, but its exact unlock TL and capacity effect remain later component-design decisions.</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resource for FTL travel and selected propulsion actions. The current tactical working scale remains 100 Fuel on the baseline player cruiser, 2 Fuel per ship hex actually traversed, and +1 Fuel for each turn using Evasive Maneuvering. Reaction mass, propellant type, reactor feedstock, tankage, and processing may distinguish a drive or specialist module through Space, efficiency, compatibility, risk, or an explicit trait, but they do not become parallel universal currencies by default. Strategic travel costs, the bridge between campaign and tactical Fuel, Fuel Processor yields, and later-TL efficiency/storage progression remain open for focused economy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CP106 completed the foundation/reference-coverage audit, CP107b native-validated the first provisional whole-ladder table, and CP108 qualitatively reviews that table into v0.2. The review changes no accepted TL1-TL3 numerical value, assigns no new TL4-TL9 balance number, preserves quiet TLs, and separates standard progression from branches/support/deferred concepts. Next work is controlled numerical subsystem slices rather than another whole-ladder architecture rewrite.</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6 / 3 Space is the canonical-x2 form of the cross-TL validated TL2 candidate. The accepted TL3 row holds primary Capacity 6 and introduces an optional 1-Space Shield Hardener that sustains 1 TP for Shield Armor 2; normal hardening is nonstacking and overload remains deferred. CP102 implements the hardener as a separate optional powered component; CP122 changes only the point-domain ruler.</w:t>
            </w:r>
          </w:p>
        </w:tc>
      </w:tr>
      <w:tr>
        <w:tc>
          <w:tcPr>
            <w:tcW w:type="dxa" w:w="4997"/>
          </w:tcPr>
          <w:p>
            <w:r>
              <w:t>Armor progression</w:t>
            </w:r>
          </w:p>
        </w:tc>
        <w:tc>
          <w:tcPr>
            <w:tcW w:type="dxa" w:w="4997"/>
          </w:tcPr>
          <w:p>
            <w:r>
              <w:t>AP0/AI10 is the canonical-x2 form of the cross-TL validated TL2 armor candidate. The accepted TL3 row is AP2/AI10: Armor Protection advances while Integrity holds, preserving the same penetration relationship under the x2 ruler. CP102 binds the profile; CP122 changes only its numerical representation.</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The starting player cruiser has exactly one shuttle. Later Hull TL may increase ordinary shuttle capacity; a Space-consuming Hangar/Mission Bay is also a candidate route to additional or heavier small craft. Exact unlock TL, Space cost, and added capacity remain open component-design decisions.</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Armor outer layer is optional and legal on the starting cruiser. It is a support component using the universal Installation Space budget, is not preinstalled, costs 1 Space, and normally is replaced rather than repaired in combat.</w:t>
            </w:r>
          </w:p>
        </w:tc>
        <w:tc>
          <w:tcPr>
            <w:tcW w:type="dxa" w:w="3331"/>
          </w:tcPr>
          <w:p>
            <w:r>
              <w:t>Current direction / architecture value</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Current tactical working scale: 100 Fuel; 2 Fuel per ship hex actually traversed; +1 Fuel for a turn using Evasive Maneuvering. Strategic scale and the tactical/campaign bridge remain open.</w:t>
            </w:r>
          </w:p>
        </w:tc>
        <w:tc>
          <w:tcPr>
            <w:tcW w:type="dxa" w:w="3331"/>
          </w:tcPr>
          <w:p>
            <w:r>
              <w:t>Current direction / tactical working value</w:t>
            </w:r>
          </w:p>
        </w:tc>
      </w:tr>
      <w:tr>
        <w:tc>
          <w:tcPr>
            <w:tcW w:type="dxa" w:w="3331"/>
          </w:tcPr>
          <w:p>
            <w:r>
              <w:t>C-075</w:t>
            </w:r>
          </w:p>
        </w:tc>
        <w:tc>
          <w:tcPr>
            <w:tcW w:type="dxa" w:w="3331"/>
          </w:tcPr>
          <w:p>
            <w:r>
              <w:t>The starting player cruiser has exactly one shuttle. Later Hull TL may increase ordinary small-craft capacity; a Space-consuming Hangar/Mission Bay may also provide additional or heavier craft, but its exact unlock and capacity effect remain open.</w:t>
            </w:r>
          </w:p>
        </w:tc>
        <w:tc>
          <w:tcPr>
            <w:tcW w:type="dxa" w:w="3331"/>
          </w:tcPr>
          <w:p>
            <w:r>
              <w:t>Current direction</w:t>
            </w:r>
          </w:p>
        </w:tc>
      </w:tr>
      <w:tr>
        <w:tc>
          <w:tcPr>
            <w:tcW w:type="dxa" w:w="3331"/>
          </w:tcPr>
          <w:p>
            <w:r>
              <w:t>C-076</w:t>
            </w:r>
          </w:p>
        </w:tc>
        <w:tc>
          <w:tcPr>
            <w:tcW w:type="dxa" w:w="3331"/>
          </w:tcPr>
          <w:p>
            <w:r>
              <w:t>An optional support/AUX component belongs only when it materially changes player capability, risk, or efficiency in an existing gameplay loop. Engineering details without a recurring decision remain abstracted rather than becoming components.</w:t>
            </w:r>
          </w:p>
        </w:tc>
        <w:tc>
          <w:tcPr>
            <w:tcW w:type="dxa" w:w="3331"/>
          </w:tcPr>
          <w:p>
            <w:r>
              <w:t>Current technology architecture / KISS guardrail</w:t>
            </w:r>
          </w:p>
        </w:tc>
      </w:tr>
      <w:tr>
        <w:tc>
          <w:tcPr>
            <w:tcW w:type="dxa" w:w="3331"/>
          </w:tcPr>
          <w:p>
            <w:r>
              <w:t>C-077</w:t>
            </w:r>
          </w:p>
        </w:tc>
        <w:tc>
          <w:tcPr>
            <w:tcW w:type="dxa" w:w="3331"/>
          </w:tcPr>
          <w:p>
            <w:r>
              <w:t>Checkpoint 107b native-validated the first provisional TL1-TL9 technology/component placement table. It preserves quiet TLs, promotes no hard external prerequisites, changes no accepted TL1-TL3 numerical value, and assigns no TL4-TL9 balance number.</w:t>
            </w:r>
          </w:p>
        </w:tc>
        <w:tc>
          <w:tcPr>
            <w:tcW w:type="dxa" w:w="3331"/>
          </w:tcPr>
          <w:p>
            <w:r>
              <w:t>Current technology architecture</w:t>
            </w:r>
          </w:p>
        </w:tc>
      </w:tr>
      <w:tr>
        <w:tc>
          <w:tcPr>
            <w:tcW w:type="dxa" w:w="3331"/>
          </w:tcPr>
          <w:p>
            <w:r>
              <w:t>C-078</w:t>
            </w:r>
          </w:p>
        </w:tc>
        <w:tc>
          <w:tcPr>
            <w:tcW w:type="dxa" w:w="3331"/>
          </w:tcPr>
          <w:p>
            <w:r>
              <w:t>Checkpoint 108 qualitatively reviews the whole-ladder table before calibration. Every technology beat receives a provisional player-expression class; specialist branches do not automatically replace the standard family; passive Armor remains unpowered while reactive/field defenses are optional enhancements; and normal-player TL9 Sensors/EW/Computing remain bounded and observer-safe rather than causal or precognitive.</w:t>
            </w:r>
          </w:p>
        </w:tc>
        <w:tc>
          <w:tcPr>
            <w:tcW w:type="dxa" w:w="3331"/>
          </w:tcPr>
          <w:p>
            <w:r>
              <w:t>Current technology architecture / pre-calibration</w:t>
            </w:r>
          </w:p>
        </w:tc>
      </w:tr>
      <w:tr>
        <w:tc>
          <w:tcPr>
            <w:tcW w:type="dxa" w:w="3331"/>
          </w:tcPr>
          <w:p>
            <w:r>
              <w:t>C-079</w:t>
            </w:r>
          </w:p>
        </w:tc>
        <w:tc>
          <w:tcPr>
            <w:tcW w:type="dxa" w:w="3331"/>
          </w:tcPr>
          <w:p>
            <w:r>
              <w:t>Checkpoint 109 defines the first complete candidate numerical TL1-TL9 technology matrix after the Storyboard/CP108 qualitative review. Earlier TL1-TL3 values are evidence/runtime seeds rather than locks; uneven jumps, quiet TLs, and maturation-without-headline-growth are valid. Sparse causal external prerequisites automatically unlock when their final prerequisite is researched. CP109 performs no balance calibration or production promotion.</w:t>
            </w:r>
          </w:p>
        </w:tc>
        <w:tc>
          <w:tcPr>
            <w:tcW w:type="dxa" w:w="3331"/>
          </w:tcPr>
          <w:p>
            <w:r>
              <w:t>Current technology architecture / numerical candidate / pre-calibration</w:t>
            </w:r>
          </w:p>
        </w:tc>
      </w:tr>
      <w:tr>
        <w:tc>
          <w:tcPr>
            <w:tcW w:type="dxa" w:w="3331"/>
          </w:tcPr>
          <w:p>
            <w:pPr/>
            <w:r>
              <w:t>C-080</w:t>
            </w:r>
          </w:p>
        </w:tc>
        <w:tc>
          <w:tcPr>
            <w:tcW w:type="dxa" w:w="3331"/>
          </w:tcPr>
          <w:p>
            <w:pPr/>
            <w:r>
              <w:t>Checkpoint 110 first-pass Power/Reactor calibration retains the CP109 primary TL1-TL9 Reactor values unchanged as working candidates after exhaustive legal-build envelope analysis and 7,025,000 adaptive stochastic turn-demand samples. Frontier/maturation asymmetry is intentional; no smoothing target is imposed. High-TL multi-Reactor availability is an integration watch item pending numerical AUX/mission competition. Energy Storage remains a separate future calibration slice. No Reactor value is promoted into the C#/Godot runtime.</w:t>
            </w:r>
          </w:p>
        </w:tc>
        <w:tc>
          <w:tcPr>
            <w:tcW w:type="dxa" w:w="3331"/>
          </w:tcPr>
          <w:p>
            <w:pPr/>
            <w:r>
              <w:t>Current Power/Reactor calibration evidence / retained candidate / no production promotion</w:t>
            </w:r>
          </w:p>
        </w:tc>
      </w:tr>
      <w:tr>
        <w:tc>
          <w:tcPr>
            <w:tcW w:type="dxa" w:w="3331"/>
          </w:tcPr>
          <w:p>
            <w:pPr/>
            <w:r>
              <w:t>C-081</w:t>
            </w:r>
          </w:p>
        </w:tc>
        <w:tc>
          <w:tcPr>
            <w:tcW w:type="dxa" w:w="3331"/>
          </w:tcPr>
          <w:p>
            <w:pPr/>
            <w:r>
              <w:t>Checkpoint 113 defines the normal ammunition/warhead expression rule. Energy tactical flexibility remains power-mode driven. Compatible Kinetic ammunition improvements that strictly dominate their predecessors become automatic family upgrades; selectable Kinetic modes require a real tradeoff. Missile warheads remain mission-specific selectable payloads when they trade shield, armor, structural, or other effects, and the selected normal warhead is committed at launch. Normal variants share broad Kinetic/Missile magazine pools with no pre-battle subtype allocation; genuinely rare or Exotic munitions may be individually counted. Ammunition/warhead compatibility is weapon-profile specific. Firm-track combat assessment may reveal qualitative shield absorption/collapse, armor contact, Hull penetration, or lack of observed penetration, but never hidden defensive arithmetic; AI receives the same observer-safe information. Sparse causal external prerequisites auto-unlock dependent technologies when completed.</w:t>
            </w:r>
          </w:p>
        </w:tc>
        <w:tc>
          <w:tcPr>
            <w:tcW w:type="dxa" w:w="3331"/>
          </w:tcPr>
          <w:p>
            <w:pPr/>
            <w:r>
              <w:t>Current weapon-family / ammunition / warhead architecture; numerical payload calibration pending</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canonical Shield Armor 2;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t>One prepared unit of combat repair supplies consumed by a Damage Control attempt whether it succeeds or fails. At the CP122 TL1 baseline, a successful Hull-repair use restores exactly 1 canonical Hull; later Hull technology may improve that bounded yield.</w:t>
            </w:r>
            <w:r>
              <w:rPr>
                <w:b w:val="0"/>
              </w:rPr>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Under the canonical x2 ruler, the accepted TL3 primary-armor value advances from AP0/AI10 to AP2/AI10; CP122 preserves the same underlying relationship while doubling point-domain resolution.</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r>
        <w:tc>
          <w:tcPr>
            <w:tcW w:type="dxa" w:w="4997"/>
          </w:tcPr>
          <w:p>
            <w:r>
              <w:t>Player expression</w:t>
            </w:r>
          </w:p>
        </w:tc>
        <w:tc>
          <w:tcPr>
            <w:tcW w:type="dxa" w:w="4997"/>
          </w:tcPr>
          <w:p>
            <w:r>
              <w:t>The provisional way a technology beat appears to the player: installed/optional component, automatic architecture/capability, operating mode, payload variant, campaign capability, infrastructure, supporting research, deferred concept, or Precursor exception. The classification prevents one research beat from being mistaken for one mandatory installed component.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v0.7p</dc:title>
  <dc:subject>Living authority for Star Cluster game concepts and player-facing mechanics; CP124 executable technology and instrumentation foundation</dc:subject>
  <dc:creator>OpenAI and project owner</dc:creator>
  <cp:keywords>Godot, C#, .NET 8, roguelike, starship, strategy, game design, missiles, terminal guidance, point defense</cp:keywords>
  <dc:description>Checkpoint 123: whole-system TL1-TL9 technology baseline consolidation; reference-only; no balance calibration.</dc:description>
  <cp:lastModifiedBy/>
  <cp:revision>1</cp:revision>
  <dcterms:created xsi:type="dcterms:W3CDTF">2013-12-23T23:15:00Z</dcterms:created>
  <dcterms:modified xsi:type="dcterms:W3CDTF">2026-08-16T00:00:00Z</dcterms:modified>
  <cp:category/>
  <cp:version>0.7p</cp:version>
</cp:coreProperties>
</file>