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0.7q  •  August 16, 2026  •  Finite System Map encounter fidelity and technology-era attribution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The main-subsystem TL1-TL9 table has passed the bounded pure-TL stabilization gate.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The stabilized main-subsystem TL1-TL9 baseline retains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supports a narrow TL8 correction. The earlier TL8 Energy Main reference produced too much advantage even when Shield interaction was removed. The stabilized baseline uses TL8 Low/Standard/High Energy damage 7/10/12 canonical points. TL8 Energy accuracy, SPEN, APEN, range, Space, and Tactical Power remain unchanged so the family retains its intended Shield-facing identity and high-technology role.</w:t>
      </w:r>
    </w:p>
    <w:p>
      <w:pPr/>
      <w:r>
        <w:t>Bounded full-map attribution shows that the strong TL5-to-TL6 generation step is a coherent maturation package rather than one erroneous scalar. Sensor envelope/discrimination growth is a major cross-family contributor, while each main weapon family also receives meaningful family-specific improvement. The stabilized baseline therefore retains the TL6 Sensor, defense, reactor, Hull, computer, and weapon characteristics rather than flattening that transition merely to target a preferred win percentage.</w:t>
      </w:r>
    </w:p>
    <w:p>
      <w:pPr/>
      <w:r>
        <w:t>Two explicit tactical movement invariants govern the stabilized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This is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This is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v0.7s</dc:title>
  <dc:subject>Stabilized main-subsystem baseline after native-accepted CP127</dc:subject>
  <dc:creator>OpenAI and project owner</dc:creator>
  <cp:keywords>Godot, C#, .NET 8, roguelike, starship, strategy, game design, missiles, terminal guidance, point defense</cp:keywords>
  <dc:description>CP128 documentation consolidation: native-accepted CP127 main-subsystem baseline, corrected movement explanatory metadata, and durable freeze boundary before broader TL sensitivity.</dc:description>
  <cp:lastModifiedBy/>
  <cp:revision>1</cp:revision>
  <dcterms:created xsi:type="dcterms:W3CDTF">2013-12-23T23:15:00Z</dcterms:created>
  <dcterms:modified xsi:type="dcterms:W3CDTF">2026-08-16T00:00:00Z</dcterms:modified>
  <cp:category/>
  <cp:version>0.7s</cp:version>
</cp:coreProperties>
</file>