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0.7q  •  August 16, 2026  •  Finite System Map encounter fidelity and technology-era attribution</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0.7q</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Finite System Map encounter fidelity / no balance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charted strategic hexes the ship can traverse in one turn. The current reference ladder is intentionally uneven: TL1-9 maximum charted-sector movement is 1, 2, 3, 4, 4, 6, 7, 9, and 12 hexes respectively. This strategic progression is an explicit exception to the simpler tactical STL and Missile movement invariants; it reflects holds, maturation, and late field/topology breakthroughs and remains subject to later strategic-layer testing.</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r>
              <w:t>No practical FTL capability</w:t>
            </w:r>
          </w:p>
        </w:tc>
      </w:tr>
      <w:tr>
        <w:trPr>
          <w:cantSplit/>
        </w:trPr>
        <w:tc>
          <w:tcPr>
            <w:tcW w:type="dxa" w:w="1728"/>
            <w:vAlign w:val="center"/>
          </w:tcPr>
          <w:p>
            <w:pPr>
              <w:spacing w:after="40" w:before="40"/>
            </w:pPr>
            <w:r>
              <w:t>1</w:t>
            </w:r>
          </w:p>
        </w:tc>
        <w:tc>
          <w:tcPr>
            <w:tcW w:type="dxa" w:w="8496"/>
            <w:vAlign w:val="center"/>
          </w:tcPr>
          <w:p>
            <w:r>
              <w:t>1 hex</w:t>
            </w:r>
          </w:p>
        </w:tc>
      </w:tr>
      <w:tr>
        <w:trPr>
          <w:cantSplit/>
        </w:trPr>
        <w:tc>
          <w:tcPr>
            <w:tcW w:type="dxa" w:w="1728"/>
            <w:vAlign w:val="center"/>
          </w:tcPr>
          <w:p>
            <w:pPr>
              <w:spacing w:after="40" w:before="40"/>
            </w:pPr>
            <w:r>
              <w:t>2</w:t>
            </w:r>
          </w:p>
        </w:tc>
        <w:tc>
          <w:tcPr>
            <w:tcW w:type="dxa" w:w="8496"/>
            <w:vAlign w:val="center"/>
          </w:tcPr>
          <w:p>
            <w:r>
              <w:t>2 hexes</w:t>
            </w:r>
          </w:p>
        </w:tc>
      </w:tr>
      <w:tr>
        <w:trPr>
          <w:cantSplit/>
        </w:trPr>
        <w:tc>
          <w:tcPr>
            <w:tcW w:type="dxa" w:w="1728"/>
            <w:vAlign w:val="center"/>
          </w:tcPr>
          <w:p>
            <w:pPr>
              <w:spacing w:after="40" w:before="40"/>
            </w:pPr>
            <w:r>
              <w:t>3</w:t>
            </w:r>
          </w:p>
        </w:tc>
        <w:tc>
          <w:tcPr>
            <w:tcW w:type="dxa" w:w="8496"/>
            <w:vAlign w:val="center"/>
          </w:tcPr>
          <w:p>
            <w:r>
              <w:t>3 hexes</w:t>
            </w:r>
          </w:p>
        </w:tc>
      </w:tr>
      <w:tr>
        <w:trPr>
          <w:cantSplit/>
        </w:trPr>
        <w:tc>
          <w:tcPr>
            <w:tcW w:type="dxa" w:w="1728"/>
            <w:vAlign w:val="center"/>
          </w:tcPr>
          <w:p>
            <w:pPr>
              <w:spacing w:after="40" w:before="40"/>
            </w:pPr>
            <w:r>
              <w:t>4</w:t>
            </w:r>
          </w:p>
        </w:tc>
        <w:tc>
          <w:tcPr>
            <w:tcW w:type="dxa" w:w="8496"/>
            <w:vAlign w:val="center"/>
          </w:tcPr>
          <w:p>
            <w:r>
              <w:t>4 hexes</w:t>
            </w:r>
          </w:p>
        </w:tc>
      </w:tr>
      <w:tr>
        <w:trPr>
          <w:cantSplit/>
        </w:trPr>
        <w:tc>
          <w:tcPr>
            <w:tcW w:type="dxa" w:w="1728"/>
            <w:vAlign w:val="center"/>
          </w:tcPr>
          <w:p>
            <w:pPr>
              <w:spacing w:after="40" w:before="40"/>
            </w:pPr>
            <w:r>
              <w:t>5</w:t>
            </w:r>
          </w:p>
        </w:tc>
        <w:tc>
          <w:tcPr>
            <w:tcW w:type="dxa" w:w="8496"/>
            <w:vAlign w:val="center"/>
          </w:tcPr>
          <w:p>
            <w:r>
              <w:t>4 hexes</w:t>
            </w:r>
          </w:p>
        </w:tc>
      </w:tr>
      <w:tr>
        <w:trPr>
          <w:cantSplit/>
        </w:trPr>
        <w:tc>
          <w:tcPr>
            <w:tcW w:type="dxa" w:w="1728"/>
            <w:vAlign w:val="center"/>
          </w:tcPr>
          <w:p>
            <w:pPr>
              <w:spacing w:after="40" w:before="40"/>
            </w:pPr>
            <w:r>
              <w:t>6</w:t>
            </w:r>
          </w:p>
        </w:tc>
        <w:tc>
          <w:tcPr>
            <w:tcW w:type="dxa" w:w="8496"/>
            <w:vAlign w:val="center"/>
          </w:tcPr>
          <w:p>
            <w:r>
              <w:t>6 hexes</w:t>
            </w:r>
          </w:p>
        </w:tc>
      </w:tr>
      <w:tr>
        <w:trPr>
          <w:cantSplit/>
        </w:trPr>
        <w:tc>
          <w:tcPr>
            <w:tcW w:type="dxa" w:w="1728"/>
            <w:vAlign w:val="center"/>
          </w:tcPr>
          <w:p>
            <w:pPr>
              <w:spacing w:after="40" w:before="40"/>
            </w:pPr>
            <w:r>
              <w:t>7</w:t>
            </w:r>
          </w:p>
        </w:tc>
        <w:tc>
          <w:tcPr>
            <w:tcW w:type="dxa" w:w="8496"/>
            <w:vAlign w:val="center"/>
          </w:tcPr>
          <w:p>
            <w:r>
              <w:t>7 hexes</w:t>
            </w:r>
          </w:p>
        </w:tc>
      </w:tr>
      <w:tr>
        <w:trPr>
          <w:cantSplit/>
        </w:trPr>
        <w:tc>
          <w:tcPr>
            <w:tcW w:type="dxa" w:w="1728"/>
            <w:vAlign w:val="center"/>
          </w:tcPr>
          <w:p>
            <w:pPr>
              <w:spacing w:after="40" w:before="40"/>
            </w:pPr>
            <w:r>
              <w:t>8</w:t>
            </w:r>
          </w:p>
        </w:tc>
        <w:tc>
          <w:tcPr>
            <w:tcW w:type="dxa" w:w="8496"/>
            <w:vAlign w:val="center"/>
          </w:tcPr>
          <w:p>
            <w:r>
              <w:t>9 hexes</w:t>
            </w:r>
          </w:p>
        </w:tc>
      </w:tr>
      <w:tr>
        <w:trPr>
          <w:cantSplit/>
        </w:trPr>
        <w:tc>
          <w:tcPr>
            <w:tcW w:type="dxa" w:w="1728"/>
            <w:vAlign w:val="center"/>
          </w:tcPr>
          <w:p>
            <w:pPr>
              <w:spacing w:after="40" w:before="40"/>
            </w:pPr>
            <w:r>
              <w:t>9</w:t>
            </w:r>
          </w:p>
        </w:tc>
        <w:tc>
          <w:tcPr>
            <w:tcW w:type="dxa" w:w="8496"/>
            <w:vAlign w:val="center"/>
          </w:tcPr>
          <w:p>
            <w:r>
              <w:t>12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2"/>
      </w:pPr>
      <w:r>
        <w:t>8.10 Executable technology and instrumentation foundation</w:t>
      </w:r>
    </w:p>
    <w:p>
      <w:pPr/>
      <w:r>
        <w:t>Checkpoint 124 binds the accepted CP123 20 x 9 numerical reference profiles directly into a reusable executable research catalog without changing the CP123 values or the accepted CP122 production mechanics. The exhaustive same-TL structural envelope contains 14,112 raw build combinations and 9,427 legal builds. Residual Installation Space is recorded explicitly as zero-tactical-effect mission/AUX capacity when numerical mission consumers are not yet defined; it is a missing-consumer diagnostic, not a balance failure.</w:t>
      </w:r>
    </w:p>
    <w:p>
      <w:pPr/>
      <w:r>
        <w:t>The foundation includes 70 zero-weight pipeline smoke variants that exercise Kinetic, Energy, GP Missile, and Swarmer paths across mirrored movement orders. These one-trial executions prove catalog-to-consumer plumbing only. They are not balance evidence and must not be used to promote or reject CP123 numerical values.</w:t>
      </w:r>
    </w:p>
    <w:p>
      <w:pPr/>
      <w:r>
        <w:t>Instrumentation correctness is an acceptance gate. The raw telemetry contract defines ownership and units for 47 metrics, and nine deterministic probes verify damage-layer accounting, Missile profile composition, TL1/TL7/TL9 Damage Control yield, failed repair accounting, non-additive ECM/ECCM redundancy, Missile launch-versus-terminal-hit ownership, and telemetry-schema completeness. Derived analysis must remain reconstructible from raw counters; in particular, attacker-side Missile launches and target-side terminal Missile hits must not be conflated.</w:t>
      </w:r>
    </w:p>
    <w:p>
      <w:pPr/>
      <w:r>
        <w:t>Checkpoint 124 deliberately did not claim coverage of the C# internal critical/subsystem-damage model, and its Python Missile travel consumer remained an ETA-to-terminal abstraction rather than evidence for the full moving-target range-exhaustion mechanic. That limitation was acceptable for the instrumentation foundation but is superseded for broad tactical research by the finite-System-Map encounter rules in 8.12. Internal critical/subsystem damage remains deferred.</w:t>
      </w:r>
    </w:p>
    <w:p>
      <w:pPr>
        <w:pStyle w:val="Heading2"/>
      </w:pPr>
      <w:r>
        <w:t>8.11 Pure-TL whole-ladder integrated progression study</w:t>
      </w:r>
    </w:p>
    <w:p>
      <w:pPr/>
      <w:r>
        <w:t>Checkpoint 125 uses the accepted CP123 numerical baseline and CP124 executable/instrumentation foundation for the first large whole-ladder combat study. Every individual ship remains technologically homogeneous: all installed standard component profiles resolve at one TL. Opponents may be any TL1-TL9, so a coherent TL4 ship can fight a coherent TL7 ship without either vessel becoming a mixed-TL design. Mixed-generation refit/legacy ships remain a separate future study.</w:t>
      </w:r>
    </w:p>
    <w:p>
      <w:pPr/>
      <w:r>
        <w:t>The study retains all 9,427 legal CP124 builds and represents the full 44,429,451-pair legal population with 70,034 deterministic population-weighted base pairings. Every legal build participates against every opponent TL, producing 84,843 build/opponent-TL coverage relationships. Every base pairing is mirrored across both side assignments and both movement orders, yielding 280,136 execution variants across all 45 canonical and 81 ordered TL cells.</w:t>
      </w:r>
    </w:p>
    <w:p>
      <w:pPr/>
      <w:r>
        <w:t>Native acceptance first executes one trial for every planned variant as a full-pipeline gate. The substantive pass then executes 200 trials per variant, for 56,027,200 engagements. Primary analysis includes the complete 9 x 9 ordered TL matrix, Delta-TL progression, weapon/payload-family matchups, raw telemetry by TL cell, per-build performance against every opponent TL, and movement-order sensitivity.</w:t>
      </w:r>
    </w:p>
    <w:p>
      <w:pPr/>
      <w:r>
        <w:t>Balance signals are not blocking rules. CP125 established a pure-generation control population and exposed several review signals, including uneven adjacent-TL progression, movement-order sensitivity, late Energy strength, mature Swarmer decline, and late Missile stalemates. Those results do not automatically revise a technology value. Before mixed-TL ships are evaluated, the tactical research model must use the finite-System-Map encounter behavior in 8.12 so movement, standoff, Missile pursuit, and side symmetry are not artifacts of an earlier screening abstraction.</w:t>
      </w:r>
    </w:p>
    <w:p>
      <w:pPr>
        <w:pStyle w:val="Heading2"/>
      </w:pPr>
      <w:r>
        <w:t>8.12 Finite System Map encounter fidelity</w:t>
      </w:r>
    </w:p>
    <w:p>
      <w:pPr/>
      <w:r>
        <w:t>Tactical encounters use the finite radius-5 System Map: 91 legal hexes, 11 hexes across. A standard opposite-edge encounter places ships at (-5,0) and (5,0), which are range 10 apart because ten hex-to-hex moves separate the edge cells. Ships cannot flee or kite beyond the System Map boundary.</w:t>
      </w:r>
    </w:p>
    <w:p>
      <w:pPr/>
      <w:r>
        <w:t>Before contact, each ship searches one hex toward map center per activation using only observer-safe information. After contact, Adaptive Engage uses what that ship has actually observed: current track quality, demonstrated attack reach, observed opponent attack reach, and the legal geometry of the finite map. A ship may preserve a one-sided standoff only after it has actually demonstrated an attack at a range beyond any attack range demonstrated by that opponent; nominal hidden weapon statistics do not grant advance knowledge.</w:t>
      </w:r>
    </w:p>
    <w:p>
      <w:pPr/>
      <w:r>
        <w:t>Missiles occupy and traverse System Map coordinates. Each Missile moves by its current propulsion allowance toward the target's current post-Movement coordinate, may reroute as the target moves, and remains limited by its total travel range/fuel semantics. Terminal acquisition, PDS, guidance, and detonation occur only after the Missile physically reaches the required terminal geometry under its capability rules.</w:t>
      </w:r>
    </w:p>
    <w:p>
      <w:pPr/>
      <w:r>
        <w:t>When multiple movement or pursuit choices are physically equivalent, the rules resolve the tie without favoring a global map-axis direction. A mirrored physical encounter should remain a mirrored encounter; absolute Q/R coordinate ordering is not a tactical advantage.</w:t>
      </w:r>
    </w:p>
    <w:p>
      <w:pPr/>
      <w:r>
        <w:t>For broad technology progression, TL1 is the baseline; TL2-TL4 broadly cover low-technology discoveries and maturation; TL5-TL7 broadly cover mid-technology discoveries and maturation; and TL8-TL9 broadly cover high-technology discoveries/maturation. These are design eras, not mandatory upgrade boundaries for every lineage. Individual families may introduce, mature, hold, specialize, or age out on different schedules.</w:t>
      </w:r>
    </w:p>
    <w:p>
      <w:pPr/>
      <w:r>
        <w:t>The standard Swarmer Missile line is an example of a bounded lifecycle. Its normal maturation beats occur at TL2, TL3, TL5, and TL7. The TL7 Autonomous Distributed Swarmer may remain available at TL8-TL9 as mature legacy technology without receiving another ordinary upgrade merely to keep pace with every high-tech defense. A later high-tech descendant would require its own technology and gameplay justification.</w:t>
      </w:r>
    </w:p>
    <w:p>
      <w:pPr>
        <w:pStyle w:val="Heading2"/>
      </w:pPr>
      <w:r>
        <w:t>8.13 Main-subsystem technology stabilization</w:t>
      </w:r>
    </w:p>
    <w:p>
      <w:pPr/>
      <w:r>
        <w:t>The main-subsystem TL1-TL9 table has passed the bounded pure-TL stabilization gate. Reopening a stabilized main-subsystem value should require new evidence: a demonstrated defect, a newly implemented mechanic that materially changes the interaction, mixed-/legacy-TL evidence that exposes an otherwise hidden pathology, or a later Auxiliary interaction. Routine preference for smoother adjacent-TL results is not by itself sufficient reason to retune the table.</w:t>
      </w:r>
    </w:p>
    <w:p>
      <w:pPr/>
      <w:r>
        <w:t>The stabilized main-subsystem TL1-TL9 baseline retains Hull and Damage Control, Armor, Reactor, FTL, Tactical Computer, Sensors, ECM/ECCM, Shields, Kinetic Main, Missile guidance and GP payload progression, and the mature Swarmer lifecycle. Most Auxiliary/support component numerical progression remains explicitly deferred for a later pass and must not delay whole-ladder sensitivity work.</w:t>
      </w:r>
    </w:p>
    <w:p>
      <w:pPr/>
      <w:r>
        <w:t>Late Energy attribution supports a narrow TL8 correction. The earlier TL8 Energy Main reference produced too much advantage even when Shield interaction was removed. The stabilized baseline uses TL8 Low/Standard/High Energy damage 7/10/12 canonical points. TL8 Energy accuracy, SPEN, APEN, range, Space, and Tactical Power remain unchanged so the family retains its intended Shield-facing identity and high-technology role.</w:t>
      </w:r>
    </w:p>
    <w:p>
      <w:pPr/>
      <w:r>
        <w:t>Bounded full-map attribution shows that the strong TL5-to-TL6 generation step is a coherent maturation package rather than one erroneous scalar. Sensor envelope/discrimination growth is a major cross-family contributor, while each main weapon family also receives meaningful family-specific improvement. The stabilized baseline therefore retains the TL6 Sensor, defense, reactor, Hull, computer, and weapon characteristics rather than flattening that transition merely to target a preferred win percentage.</w:t>
      </w:r>
    </w:p>
    <w:p>
      <w:pPr/>
      <w:r>
        <w:t>Two explicit tactical movement invariants govern the stabilized table: standard STL Move equals installed STL Drive TL, and Operational Missile Move equals Missile Drive TL plus 1. The strategic FTL ladder remains deliberately uneven at 1/2/3/4/4/6/7/9/12 because FTL is a separate campaign movement system whose original direct ladder was explicitly provisional.</w:t>
      </w:r>
    </w:p>
    <w:p>
      <w:pPr/>
      <w:r>
        <w:t>Checkpoint 126 native full-map evidence establishes the finite-map research consumer as the accepted fidelity control for pure-TL progression work. Checkpoint 127 uses that evidence for one bounded stabilization pass before broader TL-sensitivity and later mixed-generation ecology. The goal is not equal adjacent-TL win rates; it is an intentional, internally coherent main-subsystem table whose characteristics are stable enough for later cross-progression interpretation.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ship attack requires a legitimate Firm or Approximate firing solution plus all physical gates: operational weapon, range, line of sight where required, and a legal target. Firm is the normal precise solution. Approximate is a universal degraded direct-fire solution at a provisional -25 percentage-point accuracy modifier; it is not a weapon trait and does not promote the underlying track to Firm. Missile terminal attacks remain separate and normally require a valid terminal Firm solution supplied through their legal guidance architecture: a live launcher datalink or missile-local navigation report may supply Firm when legal, while cooperative peer guidance may authorize terminal Firm only when the missile profile explicitly enables that capability. Luck never bypasses a hard gate.</w:t>
      </w:r>
    </w:p>
    <w:p>
      <w:pPr>
        <w:pStyle w:val="ListBullet"/>
      </w:pPr>
      <w:r>
        <w:t>Approximate-track direct fire is a universal combat rule rather than a Tactical Computer or weapon-family characteristic. Any otherwise-eligible direct-fire ship attack may fire from an Approximate track at a provisional -25 percentage-point accuracy modifier. This penalty is intentionally tunable as a combat-system constant and remains materially significant so restoring Firm through sensing, burn-through, or ECCM retains value. Firm-track fire receives no track-quality penalty. The Approximate penalty may stack with other explicit modifiers, including the extended-range penalty below. Missile terminal acquisition and held/specific main-weapon missile interception retain their own Firm-track requirements and do not inherit this ordinary ship-target rule.</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direct-fire weapon contains enough local/manual targeting and control to function independently on an otherwise legal Firm or Approximate solution. A ship Tactical Computer/Targeting Computer is an external assisting system that improves eligible direct-fire accuracy and supplies the ship-level d100 bounds when functional; it no longer owns permission for Approximate-track fire or the universal -25 penalty. Losing the computer does not disable the weapon or erase a legal Approximate solution; it removes the computer's ordinary assistance and bounds.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Standard Range, Maximum Range, power, ammunition, charging, guidance, and hazard traits. Their tactical flexibility is deliberately asymmetric and KISS-friendly: Kinetic weapons are low-power ammunition-fed physical penetrators whose range/accuracy and APEN mature with accelerator/projectile technology; Energy weapons are ammunition-independent precision weapons with higher power demand, longer direct-fire reach, universal output modes, and later shield-penetration maturation; Missile weapons trade finite Flights, flight time, guidance, and interception exposure for high guided terminal payloads, with distinct branches such as Swarmer and radiation-oriented warheads. Conventional Kinetics use finite ammunition and normally little Tactical Power; Energy weapons require no ordinary ammunition and use materially more Tactical Power; GP and Swarmer Missiles normally cost no Tactical Power to launch but consume finite Missile Flights. Hybrids combine explicit costs and benefits rather than inheriting a universal rule.</w:t>
      </w:r>
    </w:p>
    <w:p>
      <w:pPr>
        <w:pStyle w:val="ListBullet"/>
      </w:pPr>
      <w:r>
        <w:t>Every normal Energy Main Weapon supports three bounded output levels derived from its listed Standard TP and Standard Damage. Low Output costs half Standard TP rounded up and deals half Standard Damage rounded up. Standard Output uses the listed values. Overload costs 1.5 times Standard TP rounded up, deals 1.5 times Standard Damage rounded up, and always adds 1 weapon Strain. Overload remains subject to the normal Strain Limit and Forced Overload rules when the added Strain would exceed that limit. These relationships are universal Energy-main rules rather than separate per-TL modes; technology changes the listed Standard values and may add specialized branches such as higher-SPEN emitters. Do not permit open-ended conversion of arbitrary power into attack statistics.</w:t>
      </w:r>
    </w:p>
    <w:p>
      <w:pPr>
        <w:pStyle w:val="ListBullet"/>
      </w:pPr>
      <w:r>
        <w:t>Direct-fire weapons use Standard Range and Maximum Range. At or inside Standard Range, no range penalty applies. Beyond Standard Range but at or inside Maximum Range, apply the universal provisional -10 percentage-point extended-range accuracy modifier. Beyond Maximum Range the attack is illegal. The extended-range modifier stacks with the universal -25 Approximate-track modifier, producing -35 when both conditions apply. Physical weapon range never creates attack eligibility by itself: a weapon may be capable of reaching farther than the ship can currently detect or discriminate a legal target. Missiles do not use this direct-fire range penalty; their practical reach comes from propulsion/fuel/endurance and their guidance chain.</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jc w:val="center"/>
            </w:pPr>
            <w:r>
              <w:rPr>
                <w:b/>
                <w:color w:val="FFFFFF"/>
              </w:rPr>
              <w:t>Direct-fire range band</w:t>
            </w:r>
          </w:p>
        </w:tc>
        <w:tc>
          <w:tcPr>
            <w:tcW w:type="dxa" w:w="6336"/>
            <w:vAlign w:val="center"/>
            <w:tcMar>
              <w:top w:w="110" w:type="dxa"/>
              <w:start w:w="120" w:type="dxa"/>
              <w:bottom w:w="110" w:type="dxa"/>
              <w:end w:w="120" w:type="dxa"/>
            </w:tcMar>
            <w:shd w:fill="17304F"/>
          </w:tcPr>
          <w:p>
            <w:pPr>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r>
              <w:t>At or inside Standard Range</w:t>
            </w:r>
          </w:p>
        </w:tc>
        <w:tc>
          <w:tcPr>
            <w:tcW w:type="dxa" w:w="6336"/>
            <w:vAlign w:val="center"/>
            <w:tcMar>
              <w:top w:w="110" w:type="dxa"/>
              <w:start w:w="120" w:type="dxa"/>
              <w:bottom w:w="110" w:type="dxa"/>
              <w:end w:w="120" w:type="dxa"/>
            </w:tcMar>
          </w:tcPr>
          <w:p>
            <w:r>
              <w:t>0 percentage points</w:t>
            </w:r>
          </w:p>
        </w:tc>
      </w:tr>
      <w:tr>
        <w:trPr>
          <w:cantSplit/>
        </w:trPr>
        <w:tc>
          <w:tcPr>
            <w:tcW w:type="dxa" w:w="2880"/>
            <w:vAlign w:val="center"/>
            <w:tcMar>
              <w:top w:w="110" w:type="dxa"/>
              <w:start w:w="120" w:type="dxa"/>
              <w:bottom w:w="110" w:type="dxa"/>
              <w:end w:w="120" w:type="dxa"/>
            </w:tcMar>
          </w:tcPr>
          <w:p>
            <w:r>
              <w:t>Beyond Standard Range through Maximum Range</w:t>
            </w:r>
          </w:p>
        </w:tc>
        <w:tc>
          <w:tcPr>
            <w:tcW w:type="dxa" w:w="6336"/>
            <w:vAlign w:val="center"/>
            <w:tcMar>
              <w:top w:w="110" w:type="dxa"/>
              <w:start w:w="120" w:type="dxa"/>
              <w:bottom w:w="110" w:type="dxa"/>
              <w:end w:w="120" w:type="dxa"/>
            </w:tcMar>
          </w:tcPr>
          <w:p>
            <w:r>
              <w:t>-10 percentage points</w:t>
            </w:r>
          </w:p>
        </w:tc>
      </w:tr>
      <w:tr>
        <w:trPr>
          <w:cantSplit/>
        </w:trPr>
        <w:tc>
          <w:tcPr>
            <w:tcW w:type="dxa" w:w="2880"/>
            <w:vAlign w:val="center"/>
            <w:tcMar>
              <w:top w:w="110" w:type="dxa"/>
              <w:start w:w="120" w:type="dxa"/>
              <w:bottom w:w="110" w:type="dxa"/>
              <w:end w:w="120" w:type="dxa"/>
            </w:tcMar>
          </w:tcPr>
          <w:p>
            <w:r>
              <w:t>Beyond Maximum Range</w:t>
            </w:r>
          </w:p>
        </w:tc>
        <w:tc>
          <w:tcPr>
            <w:tcW w:type="dxa" w:w="6336"/>
            <w:vAlign w:val="center"/>
            <w:tcMar>
              <w:top w:w="110" w:type="dxa"/>
              <w:start w:w="120" w:type="dxa"/>
              <w:bottom w:w="110" w:type="dxa"/>
              <w:end w:w="120" w:type="dxa"/>
            </w:tcMar>
          </w:tcPr>
          <w:p>
            <w:r>
              <w:t>Attack prohibited</w:t>
            </w:r>
          </w:p>
        </w:tc>
      </w:tr>
    </w:tbl>
    <w:p>
      <w:pPr>
        <w:pStyle w:val="ListBullet"/>
      </w:pPr>
      <w:r>
        <w:t>A direct-fire battery remains operable through its internal/local controls when the external Tactical/Targeting Computer is unavailable, provided it otherwise has a legal Firm or Approximate solution. It loses the computer's ordinary targeting assistance and shared bounds, but Approximate-track eligibility and its universal -25 modifier remain combat rules rather than computer-provided capabilities.</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explicitly separates delivery/propulsion, guidance/seeker, and terminal payload. GP Missiles are the concentrated general-purpose line: they normally launch for 0 Tactical Power, consume one of a shallow Flight reserve, and emphasize high terminal Damage rather than mirroring Kinetic APEN or Energy SPEN progression. The distinct Swarmer branch uses multiple bounded internal packets after one terminal attack roll, trading lower packet Damage for improved terminal coverage/PDS saturation; each packet resolves its own penetration and damage independently. Radiation-oriented warheads remain a distinct branch concept intended to emphasize future CREW/internal effects rather than becoming a universal GP-Missile property. Other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retains its ordinary targeting assistance and Evasive Compensation characteristics. Historical degraded-fire penalty fields may remain in preserved data for provenance, but current Approximate-track direct fire is governed by the universal -25 combat modifier rather than a Tactical Computer rating. Evasive Compensation continues to reduce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accuracy/compensation assistance when available. Ordinary ship-target direct fire may use Firm or Approximate tracks under the universal track rule. Held or specific main-weapon missile interception remains Firm-only. PDS may use the same external ordinary assistance but retains its own local fallback if the computer is unavailable. Missile terminal attacks use the missile Guidance Computer and are unaffected by the launcher's later posture or by ordinary direct-fire track/range modifiers.</w:t>
      </w:r>
    </w:p>
    <w:p>
      <w:pPr>
        <w:pStyle w:val="ListBullet"/>
      </w:pPr>
      <w:r>
        <w:t>An Operational STL drive's standard Move equals its installed Drive TL. This is a game-facing invariant rather than an uneven numerical progression rule. The drive may overload once per turn to add the drive's listed overload Move; a TL1 drive therefore rises from Move 1 to Move 2 under the current baseline.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and no longer own Approximate-fire permission or penalty. When functional they provide their listed ordinary direct-fire assistance and any explicit Evasive Compensation. A direct-fire weapon may use a Firm track normally or an Approximate track at the universal -25 modifier without promoting that track to Firm. Weapons remain locally/manual operable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This is a game-facing invariant independent of Missile range, guidance, seeker, and payload progression.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While Shield Capacity (SC) is above zero, Shield Armor (SA) is penetration hardening rather than generic damage reduction. Effective SPEN = max(0, SPEN - SA), and Shield bypass = min(DAM, Effective SPEN). The remainder of the packet attacks renewable SC; capacity overflow joins the bypassed damage and continues to the next defensive layer. SA never deletes ordinary DAM and is not consumed by resolving damage. If SC is zero, the Shield layer has collapsed, SA is inactive, and all packet damage proceeds to Armor until SC is restored. Standard shields need not provide SA; specialized shields or a Powered Shield Hardener may provide it. Under the canonical x2 point-domain ruler, the accepted TL3 Shield Hardener occupies 1 Installation Space and, while functional and powered, provides Shield Armor 2. Its normal hardening does not stack with another identical hardener, and no overload benefit is promoted.</w:t>
      </w:r>
    </w:p>
    <w:p>
      <w:pPr>
        <w:pStyle w:val="ListBullet"/>
      </w:pPr>
      <w:r>
        <w:t>For each Armor layer reached by an attack while that layer's Armor Integrity (AI) is above zero, Armor Protection (AP) is penetration hardening rather than generic damage reduction. Effective APEN = max(0, APEN - AP), and Armor bypass = min(damage reaching that layer, Effective APEN). The remainder attacks AI; Integrity overflow joins bypassed damage and continues to the next Armor layer or Hull. AP is not consumed, stripped, or used as a second durability pool by ordinary damage resolution.</w:t>
      </w:r>
    </w:p>
    <w:p>
      <w:pPr>
        <w:pStyle w:val="ListBullet"/>
      </w:pPr>
      <w:r>
        <w:t>APEN retains its original packet value across Armor layers and never creates damage. Each active layer applies its own AP hardening independently, and penetration through an outer layer proceeds into the next layer rather than skipping damage conservation. When an Armor layer has AI 0, that layer is defeated, its AP is inactive, and damage passes onward unchanged. If later repair restores AI above zero, the installed AP becomes effective again if the Armor source remains otherwise valid.</w:t>
      </w:r>
    </w:p>
    <w:p>
      <w:pPr>
        <w:pStyle w:val="ListBullet"/>
      </w:pPr>
      <w:r>
        <w:t>Primary passive Armor therefore uses AI as its ordinary durability track and AP as an always-stored penetration-hardening characteristic. It has no separate Operational/Degraded/Disabled/Destroyed condition track. Reducing AI to zero exposes the next layer/Hull immediately; it does not create a destructible AP health pool. Low-technology primary Armor normally cannot regenerate in combat, while later self-repairing or regenerative Armor may restore AI through the ordinary Damage Control/recovery architecture without changing AP into Shield-like recharge.</w:t>
      </w:r>
    </w:p>
    <w:p>
      <w:pPr>
        <w:pStyle w:val="ListBullet"/>
      </w:pPr>
      <w:r>
        <w:t>A ship may install at most one Auxiliary ablative outer layer with its own AP and AI. It uses the same penetration-hardening rule as primary Armor while its AI remains above zero.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In the current TL1-TL9 candidate Shield line, Base Recharge plus the maximum permitted Tactical Recharge is intentionally sufficient to restore a fully collapsed contemporary Shield to full SC in that one legal recharge window; this is a candidate progression invariant to be tested, not permission for arbitrary extra recharge.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Main Weapons use the universal Low/Standard/Overload relationships defined above, with every Overload adding 1 weapon Strain before any Forced Overload determination.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Universal Approximate-track direct fire is a downstream firing option layered on the resulting track quality; it does not change Sensor/EW values, retroactively alter the observation result, promote Approximate to Firm,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CP123 reference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Optional drones, fabricators, and programmable patches remain separate support choices. These values are unvalidated reference characteristics for future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Ordinary Damage Control does not directly restore Shield Points, generic armor, lost stores, or destroyed components. An Armor profile that explicitly possesses tactical self-healing/regeneration is a separate built-in material capability resolved in the Damage Control phase: the current candidate rule restores 1 AI per Tactical Power spent, up to that profile's listed per-turn TP cap and never above pristine AI. Passive alternatives such as the TL6 Crystalline Armor branch may trade stronger AP/AI for no tactical regeneration.</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v0.7u</dc:title>
  <dc:subject>CP134 canonical direct-fire range/track rules, universal Energy-main output modes, and tactical Armor regeneration</dc:subject>
  <dc:creator>OpenAI and project owner</dc:creator>
  <cp:keywords>Godot, C#, .NET 8, roguelike, starship, strategy, game design, missiles, terminal guidance, point defense</cp:keywords>
  <dc:description>CP134 synchronizes the Concept with canonical combat kernel v0.2 and the accepted CP133 candidate subsystem baseline; numerical balance remains under same-TL diagnostic study.</dc:description>
  <cp:lastModifiedBy/>
  <cp:revision>1</cp:revision>
  <dcterms:created xsi:type="dcterms:W3CDTF">2013-12-23T23:15:00Z</dcterms:created>
  <dcterms:modified xsi:type="dcterms:W3CDTF">2026-08-16T00:00:00Z</dcterms:modified>
  <cp:category/>
  <cp:version>0.7t</cp:version>
</cp:coreProperties>
</file>