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0.7v  •  August 19, 2026  •  Finite System Map encounter fidelity and technology-era attribution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0.7v</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Finite System Map encounter fidelity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charted strategic hexes the ship can traverse in one turn. The current reference ladder is intentionally uneven: TL1-9 maximum charted-sector movement is 1, 2, 3, 4, 4, 6, 7, 9, and 12 hexes respectively. This strategic progression is an explicit exception to the simpler tactical STL and Missile movement invariants; it reflects holds, maturation, and late field/topology breakthroughs and remains subject to later strategic-layer testing.</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r>
              <w:t>No practical FTL capability</w:t>
            </w:r>
          </w:p>
        </w:tc>
      </w:tr>
      <w:tr>
        <w:trPr>
          <w:cantSplit/>
        </w:trPr>
        <w:tc>
          <w:tcPr>
            <w:tcW w:type="dxa" w:w="1728"/>
            <w:vAlign w:val="center"/>
          </w:tcPr>
          <w:p>
            <w:pPr>
              <w:spacing w:after="40" w:before="40"/>
            </w:pPr>
            <w:r>
              <w:t>1</w:t>
            </w:r>
          </w:p>
        </w:tc>
        <w:tc>
          <w:tcPr>
            <w:tcW w:type="dxa" w:w="8496"/>
            <w:vAlign w:val="center"/>
          </w:tcPr>
          <w:p>
            <w:r>
              <w:t>1 hex</w:t>
            </w:r>
          </w:p>
        </w:tc>
      </w:tr>
      <w:tr>
        <w:trPr>
          <w:cantSplit/>
        </w:trPr>
        <w:tc>
          <w:tcPr>
            <w:tcW w:type="dxa" w:w="1728"/>
            <w:vAlign w:val="center"/>
          </w:tcPr>
          <w:p>
            <w:pPr>
              <w:spacing w:after="40" w:before="40"/>
            </w:pPr>
            <w:r>
              <w:t>2</w:t>
            </w:r>
          </w:p>
        </w:tc>
        <w:tc>
          <w:tcPr>
            <w:tcW w:type="dxa" w:w="8496"/>
            <w:vAlign w:val="center"/>
          </w:tcPr>
          <w:p>
            <w:r>
              <w:t>2 hexes</w:t>
            </w:r>
          </w:p>
        </w:tc>
      </w:tr>
      <w:tr>
        <w:trPr>
          <w:cantSplit/>
        </w:trPr>
        <w:tc>
          <w:tcPr>
            <w:tcW w:type="dxa" w:w="1728"/>
            <w:vAlign w:val="center"/>
          </w:tcPr>
          <w:p>
            <w:pPr>
              <w:spacing w:after="40" w:before="40"/>
            </w:pPr>
            <w:r>
              <w:t>3</w:t>
            </w:r>
          </w:p>
        </w:tc>
        <w:tc>
          <w:tcPr>
            <w:tcW w:type="dxa" w:w="8496"/>
            <w:vAlign w:val="center"/>
          </w:tcPr>
          <w:p>
            <w:r>
              <w:t>3 hexes</w:t>
            </w:r>
          </w:p>
        </w:tc>
      </w:tr>
      <w:tr>
        <w:trPr>
          <w:cantSplit/>
        </w:trPr>
        <w:tc>
          <w:tcPr>
            <w:tcW w:type="dxa" w:w="1728"/>
            <w:vAlign w:val="center"/>
          </w:tcPr>
          <w:p>
            <w:pPr>
              <w:spacing w:after="40" w:before="40"/>
            </w:pPr>
            <w:r>
              <w:t>4</w:t>
            </w:r>
          </w:p>
        </w:tc>
        <w:tc>
          <w:tcPr>
            <w:tcW w:type="dxa" w:w="8496"/>
            <w:vAlign w:val="center"/>
          </w:tcPr>
          <w:p>
            <w:r>
              <w:t>4 hexes</w:t>
            </w:r>
          </w:p>
        </w:tc>
      </w:tr>
      <w:tr>
        <w:trPr>
          <w:cantSplit/>
        </w:trPr>
        <w:tc>
          <w:tcPr>
            <w:tcW w:type="dxa" w:w="1728"/>
            <w:vAlign w:val="center"/>
          </w:tcPr>
          <w:p>
            <w:pPr>
              <w:spacing w:after="40" w:before="40"/>
            </w:pPr>
            <w:r>
              <w:t>5</w:t>
            </w:r>
          </w:p>
        </w:tc>
        <w:tc>
          <w:tcPr>
            <w:tcW w:type="dxa" w:w="8496"/>
            <w:vAlign w:val="center"/>
          </w:tcPr>
          <w:p>
            <w:r>
              <w:t>4 hexes</w:t>
            </w:r>
          </w:p>
        </w:tc>
      </w:tr>
      <w:tr>
        <w:trPr>
          <w:cantSplit/>
        </w:trPr>
        <w:tc>
          <w:tcPr>
            <w:tcW w:type="dxa" w:w="1728"/>
            <w:vAlign w:val="center"/>
          </w:tcPr>
          <w:p>
            <w:pPr>
              <w:spacing w:after="40" w:before="40"/>
            </w:pPr>
            <w:r>
              <w:t>6</w:t>
            </w:r>
          </w:p>
        </w:tc>
        <w:tc>
          <w:tcPr>
            <w:tcW w:type="dxa" w:w="8496"/>
            <w:vAlign w:val="center"/>
          </w:tcPr>
          <w:p>
            <w:r>
              <w:t>6 hexes</w:t>
            </w:r>
          </w:p>
        </w:tc>
      </w:tr>
      <w:tr>
        <w:trPr>
          <w:cantSplit/>
        </w:trPr>
        <w:tc>
          <w:tcPr>
            <w:tcW w:type="dxa" w:w="1728"/>
            <w:vAlign w:val="center"/>
          </w:tcPr>
          <w:p>
            <w:pPr>
              <w:spacing w:after="40" w:before="40"/>
            </w:pPr>
            <w:r>
              <w:t>7</w:t>
            </w:r>
          </w:p>
        </w:tc>
        <w:tc>
          <w:tcPr>
            <w:tcW w:type="dxa" w:w="8496"/>
            <w:vAlign w:val="center"/>
          </w:tcPr>
          <w:p>
            <w:r>
              <w:t>7 hexes</w:t>
            </w:r>
          </w:p>
        </w:tc>
      </w:tr>
      <w:tr>
        <w:trPr>
          <w:cantSplit/>
        </w:trPr>
        <w:tc>
          <w:tcPr>
            <w:tcW w:type="dxa" w:w="1728"/>
            <w:vAlign w:val="center"/>
          </w:tcPr>
          <w:p>
            <w:pPr>
              <w:spacing w:after="40" w:before="40"/>
            </w:pPr>
            <w:r>
              <w:t>8</w:t>
            </w:r>
          </w:p>
        </w:tc>
        <w:tc>
          <w:tcPr>
            <w:tcW w:type="dxa" w:w="8496"/>
            <w:vAlign w:val="center"/>
          </w:tcPr>
          <w:p>
            <w:r>
              <w:t>9 hexes</w:t>
            </w:r>
          </w:p>
        </w:tc>
      </w:tr>
      <w:tr>
        <w:trPr>
          <w:cantSplit/>
        </w:trPr>
        <w:tc>
          <w:tcPr>
            <w:tcW w:type="dxa" w:w="1728"/>
            <w:vAlign w:val="center"/>
          </w:tcPr>
          <w:p>
            <w:pPr>
              <w:spacing w:after="40" w:before="40"/>
            </w:pPr>
            <w:r>
              <w:t>9</w:t>
            </w:r>
          </w:p>
        </w:tc>
        <w:tc>
          <w:tcPr>
            <w:tcW w:type="dxa" w:w="8496"/>
            <w:vAlign w:val="center"/>
          </w:tcPr>
          <w:p>
            <w:r>
              <w:t>12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did not claim coverage of the C# internal critical/subsystem-damage model, and its Python Missile travel consumer remained an ETA-to-terminal abstraction rather than evidence for the full moving-target range-exhaustion mechanic. That limitation was acceptable for the instrumentation foundation but is superseded for broad tactical research by the finite-System-Map encounter rules in 8.12. Internal critical/subsystem damage remains deferred.</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rules. CP125 established a pure-generation control population and exposed several review signals, including uneven adjacent-TL progression, movement-order sensitivity, late Energy strength, mature Swarmer decline, and late Missile stalemates. Those results do not automatically revise a technology value. Before mixed-TL ships are evaluated, the tactical research model must use the finite-System-Map encounter behavior in 8.12 so movement, standoff, Missile pursuit, and side symmetry are not artifacts of an earlier screening abstraction.</w:t>
      </w:r>
    </w:p>
    <w:p>
      <w:pPr>
        <w:pStyle w:val="Heading2"/>
      </w:pPr>
      <w:r>
        <w:t>8.12 Finite System Map encounter fidelity</w:t>
      </w:r>
    </w:p>
    <w:p>
      <w:pPr/>
      <w:r>
        <w:t>Tactical encounters use the finite radius-5 System Map: 91 legal hexes, 11 hexes across. A standard opposite-edge encounter places ships at (-5,0) and (5,0), which are range 10 apart because ten hex-to-hex moves separate the edge cells. Ships cannot flee or kite beyond the System Map boundary.</w:t>
      </w:r>
    </w:p>
    <w:p>
      <w:pPr/>
      <w:r>
        <w:t>Before contact, each ship searches one hex toward map center per activation using only observer-safe information. After contact, Adaptive Engage uses what that ship has actually observed: current track quality, demonstrated attack reach, observed opponent attack reach, and the legal geometry of the finite map. A ship may preserve a one-sided standoff only after it has actually demonstrated an attack at a range beyond any attack range demonstrated by that opponent; nominal hidden weapon statistics do not grant advance knowledge.</w:t>
      </w:r>
    </w:p>
    <w:p>
      <w:pPr/>
      <w:r>
        <w:t>Missiles occupy and traverse System Map coordinates. Each Missile moves by its current propulsion allowance toward the target's current post-Movement coordinate, may reroute as the target moves, and remains limited by its total travel range/fuel semantics. Terminal acquisition, PDS, guidance, and detonation occur only after the Missile physically reaches the required terminal geometry under its capability rules.</w:t>
      </w:r>
    </w:p>
    <w:p>
      <w:pPr/>
      <w:r>
        <w:t>When multiple movement or pursuit choices are physically equivalent, the rules resolve the tie without favoring a global map-axis direction. A mirrored physical encounter should remain a mirrored encounter; absolute Q/R coordinate ordering is not a tactical advantage.</w:t>
      </w:r>
    </w:p>
    <w:p>
      <w:pPr/>
      <w:r>
        <w:t>For broad technology progression, TL1 is the baseline; TL2-TL4 broadly cover low-technology discoveries and maturation; TL5-TL7 broadly cover mid-technology discoveries and maturation; and TL8-TL9 broadly cover high-technology discoveries/maturation. These are design eras, not mandatory upgrade boundaries for every lineage. Individual families may introduce, mature, hold, specialize, or age out on different schedules.</w:t>
      </w:r>
    </w:p>
    <w:p>
      <w:pPr/>
      <w:r>
        <w:t>The standard Swarmer Missile line is an example of a bounded lifecycle. Its normal maturation beats occur at TL2, TL3, TL5, and TL7. The TL7 Autonomous Distributed Swarmer may remain available at TL8-TL9 as mature legacy technology without receiving another ordinary upgrade merely to keep pace with every high-tech defense. A later high-tech descendant would require its own technology and gameplay justification.</w:t>
      </w:r>
    </w:p>
    <w:p>
      <w:pPr>
        <w:pStyle w:val="Heading2"/>
      </w:pPr>
      <w:r>
        <w:t>8.13 Main-subsystem technology stabilization</w:t>
      </w:r>
    </w:p>
    <w:p>
      <w:pPr/>
      <w:r>
        <w:t>The main-subsystem TL1-TL9 table has passed the bounded pure-TL stabilization gate. Reopening a stabilized main-subsystem value should require new evidence: a demonstrated defect, a newly implemented mechanic that materially changes the interaction, mixed-/legacy-TL evidence that exposes an otherwise hidden pathology, or a later Auxiliary interaction. Routine preference for smoother adjacent-TL results is not by itself sufficient reason to retune the table.</w:t>
      </w:r>
    </w:p>
    <w:p>
      <w:pPr/>
      <w:r>
        <w:t>The stabilized main-subsystem TL1-TL9 baseline retains Hull and Damage Control, Armor, Reactor, FTL, Tactical Computer, Sensors, ECM/ECCM, Shields, Kinetic Main, Missile guidance and GP payload progression, and the mature Swarmer lifecycle. Most Auxiliary/support component numerical progression remains explicitly deferred for a later pass and must not delay whole-ladder sensitivity work.</w:t>
      </w:r>
    </w:p>
    <w:p>
      <w:pPr/>
      <w:r>
        <w:t>Late Energy attribution supports a narrow TL8 correction. The earlier TL8 Energy Main reference produced too much advantage even when Shield interaction was removed. The stabilized baseline uses TL8 Low/Standard/High Energy damage 7/10/12 canonical points. TL8 Energy accuracy, SPEN, APEN, range, Space, and Tactical Power remain unchanged so the family retains its intended Shield-facing identity and high-technology role.</w:t>
      </w:r>
    </w:p>
    <w:p>
      <w:pPr/>
      <w:r>
        <w:t>Bounded full-map attribution shows that the strong TL5-to-TL6 generation step is a coherent maturation package rather than one erroneous scalar. Sensor envelope/discrimination growth is a major cross-family contributor, while each main weapon family also receives meaningful family-specific improvement. The stabilized baseline therefore retains the TL6 Sensor, defense, reactor, Hull, computer, and weapon characteristics rather than flattening that transition merely to target a preferred win percentage.</w:t>
      </w:r>
    </w:p>
    <w:p>
      <w:pPr/>
      <w:r>
        <w:t>Two explicit tactical movement invariants govern the stabilized table: standard STL Move equals installed STL Drive TL, and Operational Missile Move equals Missile Drive TL plus 1. The strategic FTL ladder remains deliberately uneven at 1/2/3/4/4/6/7/9/12 because FTL is a separate campaign movement system whose original direct ladder was explicitly provisional.</w:t>
      </w:r>
    </w:p>
    <w:p>
      <w:pPr/>
      <w:r>
        <w:t>Checkpoint 126 native full-map evidence establishes the finite-map research consumer as the accepted fidelity control for pure-TL progression work. Checkpoint 127 uses that evidence for one bounded stabilization pass before broader TL-sensitivity and later mixed-generation ecology. The goal is not equal adjacent-TL win rates; it is an intentional, internally coherent main-subsystem table whose characteristics are stable enough for later cross-progression interpretation.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ship attack requires a legitimate Firm or Approximate firing solution plus all physical gates: operational weapon, range, line of sight where required, and a legal target. Firm is the normal precise solution. Approximate is a universal degraded direct-fire solution at a provisional -25 percentage-point accuracy modifier; it is not a weapon trait and does not promote the underlying track to Firm. Missile terminal attacks remain separate and normally require a valid terminal Firm solution supplied through their legal guidance architecture: a live launcher datalink or missile-local navigation report may supply Firm when legal, while cooperative peer guidance may authorize terminal Firm only when the missile profile explicitly enables that capability. Luck never bypasses a hard gate.</w:t>
      </w:r>
    </w:p>
    <w:p>
      <w:pPr>
        <w:pStyle w:val="ListBullet"/>
      </w:pPr>
      <w:r>
        <w:t>Approximate-track direct fire is a universal combat rule rather than a Tactical Computer or weapon-family characteristic. Any otherwise-eligible direct-fire ship attack may fire from an Approximate track at a provisional -25 percentage-point accuracy modifier. This penalty is intentionally tunable as a combat-system constant and remains materially significant so restoring Firm through sensing, burn-through, or ECCM retains value. Firm-track fire receives no track-quality penalty. The Approximate penalty may stack with other explicit modifiers, including the extended-range penalty below. Missile terminal acquisition and held/specific main-weapon missile interception retain their own Firm-track requirements and do not inherit this ordinary ship-target rule.</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direct-fire weapon contains enough local/manual targeting and control to function independently on an otherwise legal Firm or Approximate solution. A ship Tactical Computer/Targeting Computer is an external assisting system that improves eligible direct-fire accuracy and supplies the ship-level d100 bounds when functional; it no longer owns permission for Approximate-track fire or the universal -25 penalty. Losing the computer does not disable the weapon or erase a legal Approximate solution; it removes the computer's ordinary assistance and bounds.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Standard Range, Maximum Range, power, ammunition, charging, guidance, and hazard traits. Their tactical flexibility is deliberately asymmetric and KISS-friendly: Kinetic weapons are low-power ammunition-fed physical penetrators whose range/accuracy and APEN mature with accelerator/projectile technology; Energy weapons are ammunition-independent precision weapons with higher power demand, longer direct-fire reach, universal output modes, and later shield-penetration maturation; Missile weapons trade finite Flights, flight time, guidance, and interception exposure for high guided terminal payloads, with distinct branches such as Swarmer and radiation-oriented warheads. Conventional Kinetics use finite ammunition and normally little Tactical Power; Energy weapons require no ordinary ammunition and use materially more Tactical Power; GP and Swarmer Missiles normally cost no Tactical Power to launch but consume finite Missile Flights. Hybrids combine explicit costs and benefits rather than inheriting a universal rule.</w:t>
      </w:r>
    </w:p>
    <w:p>
      <w:pPr>
        <w:pStyle w:val="ListBullet"/>
      </w:pPr>
      <w:r>
        <w:t>Every normal Energy Main Weapon supports three bounded output levels derived from its listed Standard TP and Standard Damage. Low Output costs half Standard TP rounded up and deals half Standard Damage rounded up. Standard Output uses the listed values. Overload costs 1.5 times Standard TP rounded up, deals 1.5 times Standard Damage rounded up, and always adds 1 weapon Strain. Overload remains subject to the normal Strain Limit and Forced Overload rules when the added Strain would exceed that limit. These relationships are universal Energy-main rules rather than separate per-TL modes; technology changes the listed Standard values and may add specialized branches such as higher-SPEN emitters. Do not permit open-ended conversion of arbitrary power into attack statistics.</w:t>
      </w:r>
    </w:p>
    <w:p>
      <w:pPr>
        <w:pStyle w:val="ListBullet"/>
      </w:pPr>
      <w:r>
        <w:t>Direct-fire weapons use Standard Range and Maximum Range. At or inside Standard Range, no range penalty applies. Beyond Standard Range but at or inside Maximum Range, apply the universal provisional -10 percentage-point extended-range accuracy modifier. Beyond Maximum Range the attack is illegal. The extended-range modifier stacks with the universal -25 Approximate-track modifier, producing -35 when both conditions apply. Physical weapon range never creates attack eligibility by itself: a weapon may be capable of reaching farther than the ship can currently detect or discriminate a legal target. Missiles do not use this direct-fire range penalty; their practical reach comes from propulsion/fuel/endurance and their guidance chain.</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jc w:val="center"/>
            </w:pPr>
            <w:r>
              <w:rPr>
                <w:b/>
                <w:color w:val="FFFFFF"/>
              </w:rPr>
              <w:t>Direct-fire range band</w:t>
            </w:r>
          </w:p>
        </w:tc>
        <w:tc>
          <w:tcPr>
            <w:tcW w:type="dxa" w:w="6336"/>
            <w:vAlign w:val="center"/>
            <w:tcMar>
              <w:top w:w="110" w:type="dxa"/>
              <w:start w:w="120" w:type="dxa"/>
              <w:bottom w:w="110" w:type="dxa"/>
              <w:end w:w="120" w:type="dxa"/>
            </w:tcMar>
            <w:shd w:fill="17304F"/>
          </w:tcPr>
          <w:p>
            <w:pPr>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r>
              <w:t>At or inside Standard Range</w:t>
            </w:r>
          </w:p>
        </w:tc>
        <w:tc>
          <w:tcPr>
            <w:tcW w:type="dxa" w:w="6336"/>
            <w:vAlign w:val="center"/>
            <w:tcMar>
              <w:top w:w="110" w:type="dxa"/>
              <w:start w:w="120" w:type="dxa"/>
              <w:bottom w:w="110" w:type="dxa"/>
              <w:end w:w="120" w:type="dxa"/>
            </w:tcMar>
          </w:tcPr>
          <w:p>
            <w:r>
              <w:t>0 percentage points</w:t>
            </w:r>
          </w:p>
        </w:tc>
      </w:tr>
      <w:tr>
        <w:trPr>
          <w:cantSplit/>
        </w:trPr>
        <w:tc>
          <w:tcPr>
            <w:tcW w:type="dxa" w:w="2880"/>
            <w:vAlign w:val="center"/>
            <w:tcMar>
              <w:top w:w="110" w:type="dxa"/>
              <w:start w:w="120" w:type="dxa"/>
              <w:bottom w:w="110" w:type="dxa"/>
              <w:end w:w="120" w:type="dxa"/>
            </w:tcMar>
          </w:tcPr>
          <w:p>
            <w:r>
              <w:t>Beyond Standard Range through Maximum Range</w:t>
            </w:r>
          </w:p>
        </w:tc>
        <w:tc>
          <w:tcPr>
            <w:tcW w:type="dxa" w:w="6336"/>
            <w:vAlign w:val="center"/>
            <w:tcMar>
              <w:top w:w="110" w:type="dxa"/>
              <w:start w:w="120" w:type="dxa"/>
              <w:bottom w:w="110" w:type="dxa"/>
              <w:end w:w="120" w:type="dxa"/>
            </w:tcMar>
          </w:tcPr>
          <w:p>
            <w:r>
              <w:t>-10 percentage points</w:t>
            </w:r>
          </w:p>
        </w:tc>
      </w:tr>
      <w:tr>
        <w:trPr>
          <w:cantSplit/>
        </w:trPr>
        <w:tc>
          <w:tcPr>
            <w:tcW w:type="dxa" w:w="2880"/>
            <w:vAlign w:val="center"/>
            <w:tcMar>
              <w:top w:w="110" w:type="dxa"/>
              <w:start w:w="120" w:type="dxa"/>
              <w:bottom w:w="110" w:type="dxa"/>
              <w:end w:w="120" w:type="dxa"/>
            </w:tcMar>
          </w:tcPr>
          <w:p>
            <w:r>
              <w:t>Beyond Maximum Range</w:t>
            </w:r>
          </w:p>
        </w:tc>
        <w:tc>
          <w:tcPr>
            <w:tcW w:type="dxa" w:w="6336"/>
            <w:vAlign w:val="center"/>
            <w:tcMar>
              <w:top w:w="110" w:type="dxa"/>
              <w:start w:w="120" w:type="dxa"/>
              <w:bottom w:w="110" w:type="dxa"/>
              <w:end w:w="120" w:type="dxa"/>
            </w:tcMar>
          </w:tcPr>
          <w:p>
            <w:r>
              <w:t>Attack prohibited</w:t>
            </w:r>
          </w:p>
        </w:tc>
      </w:tr>
    </w:tbl>
    <w:p>
      <w:pPr>
        <w:pStyle w:val="ListBullet"/>
      </w:pPr>
      <w:r>
        <w:t>A direct-fire battery remains operable through its internal/local controls when the external Tactical/Targeting Computer is unavailable, provided it otherwise has a legal Firm or Approximate solution. It loses the computer's ordinary targeting assistance and shared bounds, but Approximate-track eligibility and its universal -25 modifier remain combat rules rather than computer-provided capabilities.</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explicitly separates delivery/propulsion, guidance/seeker, and terminal payload. GP Missiles are the concentrated general-purpose line: they normally launch for 0 Tactical Power, consume one of a shallow Flight reserve, and emphasize high terminal Damage rather than mirroring Kinetic APEN or Energy SPEN progression. The distinct Swarmer branch uses multiple bounded internal packets after one terminal attack roll, trading lower packet Damage for improved terminal coverage/PDS saturation; each packet resolves its own penetration and damage independently. Radiation-oriented warheads remain a distinct branch concept intended to emphasize future CREW/internal effects rather than becoming a universal GP-Missile property. Other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retains its ordinary targeting assistance and Evasive Compensation characteristics. Historical degraded-fire penalty fields may remain in preserved data for provenance, but current Approximate-track direct fire is governed by the universal -25 combat modifier rather than a Tactical Computer rating. Evasive Compensation continues to reduce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accuracy/compensation assistance when available. Ordinary ship-target direct fire may use Firm or Approximate tracks under the universal track rule. Held or specific main-weapon missile interception remains Firm-only. PDS may use the same external ordinary assistance but retains its own local fallback if the computer is unavailable. Missile terminal attacks use the missile Guidance Computer and are unaffected by the launcher's later posture or by ordinary direct-fire track/range modifiers.</w:t>
      </w:r>
    </w:p>
    <w:p>
      <w:pPr>
        <w:pStyle w:val="ListBullet"/>
      </w:pPr>
      <w:r>
        <w:t>An Operational STL drive's standard Move equals its installed Drive TL. This is a game-facing invariant rather than an uneven numerical progression rule. The drive may overload once per turn to add the drive's listed overload Move; a TL1 drive therefore rises from Move 1 to Move 2 under the current baseline.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and no longer own Approximate-fire permission or penalty. When functional they provide their listed ordinary direct-fire assistance and any explicit Evasive Compensation. A direct-fire weapon may use a Firm track normally or an Approximate track at the universal -25 modifier without promoting that track to Firm. Weapons remain locally/manual operable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This is a game-facing invariant independent of Missile range, guidance, seeker, and payload progression.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While Shield Capacity (SC) is above zero, Shield Armor (SA) is penetration hardening rather than generic damage reduction. Effective SPEN = max(0, SPEN - SA), and Shield bypass = min(DAM, Effective SPEN). The remainder of the packet attacks renewable SC; capacity overflow joins the bypassed damage and continues to the next defensive layer. SA never deletes ordinary DAM and is not consumed by resolving damage. If SC is zero, the Shield layer has collapsed, SA is inactive, and all packet damage proceeds to Armor until SC is restored. Standard shields need not provide SA; specialized shields or a Powered Shield Hardener may provide it. Under the canonical x2 point-domain ruler, the accepted TL3 Shield Hardener occupies 1 Installation Space and, while functional and powered, provides Shield Armor 2. Its normal hardening does not stack with another identical hardener, and no overload benefit is promoted.</w:t>
      </w:r>
    </w:p>
    <w:p>
      <w:pPr>
        <w:pStyle w:val="ListBullet"/>
      </w:pPr>
      <w:r>
        <w:t>For each Armor layer reached by an attack while that layer's Armor Integrity (AI) is above zero, Armor Protection (AP) is penetration hardening rather than generic damage reduction. Effective APEN = max(0, APEN - AP), and Armor bypass = min(damage reaching that layer, Effective APEN). The remainder attacks AI; Integrity overflow joins bypassed damage and continues to the next Armor layer or Hull. AP is not consumed, stripped, or used as a second durability pool by ordinary damage resolution.</w:t>
      </w:r>
    </w:p>
    <w:p>
      <w:pPr>
        <w:pStyle w:val="ListBullet"/>
      </w:pPr>
      <w:r>
        <w:t>APEN retains its original packet value across Armor layers and never creates damage. Each active layer applies its own AP hardening independently, and penetration through an outer layer proceeds into the next layer rather than skipping damage conservation. When an Armor layer has AI 0, that layer is defeated, its AP is inactive, and damage passes onward unchanged. If later repair restores AI above zero, the installed AP becomes effective again if the Armor source remains otherwise valid.</w:t>
      </w:r>
    </w:p>
    <w:p>
      <w:pPr>
        <w:pStyle w:val="ListBullet"/>
      </w:pPr>
      <w:r>
        <w:t>Primary passive Armor therefore uses AI as its ordinary durability track and AP as an always-stored penetration-hardening characteristic. It has no separate Operational/Degraded/Disabled/Destroyed condition track. Reducing AI to zero exposes the next layer/Hull immediately; it does not create a destructible AP health pool. Low-technology primary Armor normally cannot regenerate in combat, while later self-repairing or regenerative Armor may restore AI through the ordinary Damage Control/recovery architecture without changing AP into Shield-like recharge.</w:t>
      </w:r>
    </w:p>
    <w:p>
      <w:pPr>
        <w:pStyle w:val="ListBullet"/>
      </w:pPr>
      <w:r>
        <w:t>A ship may install at most one Auxiliary ablative outer layer with its own AP and AI. It uses the same penetration-hardening rule as primary Armor while its AI remains above zero.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In the current TL1-TL9 candidate Shield line, a fully collapsed contemporary Shield cannot normally return to full SC in that single legal recharge window even with maximum Tactical Recharge. Base and Tactical Recharge restore a substantial technology-dependent portion of SC, leaving a sustained-fire exploitation window until later recharge opportunities.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Main Weapons use the universal Low/Standard/Overload relationships defined above, with every Overload adding 1 weapon Strain before any Forced Overload determination.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Universal Approximate-track direct fire is a downstream firing option layered on the resulting track quality; it does not change Sensor/EW values, retroactively alter the observation result, promote Approximate to Firm,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current candidate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Prepared Repair Kits progress 3/3/4/4/5/5/6/6/7 from TL1 through TL9. Optional drones, fabricators, and programmable patches remain separate support choices. These values remain candidate characteristics for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Ordinary Damage Control does not directly restore Shield Points, generic armor, lost stores, or destroyed components. An Armor profile that explicitly possesses tactical self-healing/regeneration is a separate built-in material capability resolved in the Damage Control phase: the current candidate rule restores 1 AI per Tactical Power spent, up to that profile's listed per-turn TP cap and never above pristine AI. Passive alternatives such as the TL6 Crystalline Armor branch may trade stronger AP/AI for no tactical regeneration.</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v0.7v</dc:title>
  <dc:subject>CP134 canonical direct-fire range/track rules, universal Energy-main output modes, and tactical Armor regeneration</dc:subject>
  <dc:creator>OpenAI and project owner</dc:creator>
  <cp:keywords>Godot, C#, .NET 8, roguelike, starship, strategy, game design, missiles, terminal guidance, point defense</cp:keywords>
  <dc:description>CP134 synchronizes the Concept with canonical combat kernel v0.2 and the accepted CP133 candidate subsystem baseline; numerical balance remains under same-TL diagnostic study.</dc:description>
  <cp:lastModifiedBy/>
  <cp:revision>1</cp:revision>
  <dcterms:created xsi:type="dcterms:W3CDTF">2013-12-23T23:15:00Z</dcterms:created>
  <dcterms:modified xsi:type="dcterms:W3CDTF">2026-08-16T00:00:00Z</dcterms:modified>
  <cp:category/>
  <cp:version>0.7t</cp:version>
</cp:coreProperties>
</file>