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0.7w  •  August 19, 2026  •  Armor regeneration and Crystalline Armor rebaseline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The main-subsystem TL1-TL9 table has passed the bounded pure-TL stabilization gate.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The stabilized main-subsystem TL1-TL9 baseline retains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supports a narrow TL8 correction. The earlier TL8 Energy Main reference produced too much advantage even when Shield interaction was removed. The stabilized baseline uses TL8 Low/Standard/High Energy damage 7/10/12 canonical points. TL8 Energy accuracy, SPEN, APEN, range, Space, and Tactical Power remain unchanged so the family retains its intended Shield-facing identity and high-technology role.</w:t>
      </w:r>
    </w:p>
    <w:p>
      <w:pPr/>
      <w:r>
        <w:t>Bounded full-map attribution shows that the strong TL5-to-TL6 generation step is a coherent maturation package rather than one erroneous scalar. Sensor envelope/discrimination growth is a major cross-family contributor, while each main weapon family also receives meaningful family-specific improvement. The stabilized baseline therefore retains the TL6 Sensor, defense, reactor, Hull, computer, and weapon characteristics rather than flattening that transition merely to target a preferred win percentage.</w:t>
      </w:r>
    </w:p>
    <w:p>
      <w:pPr/>
      <w:r>
        <w:t>Two explicit tactical movement invariants govern the stabilized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ship attack requires a legitimate Firm or Approximate firing solution plus all physical gates: operational weapon, range, line of sight where required, and a legal target. Firm is the normal precise solution. Approximate is a universal degraded direct-fire solution at a provisional -25 percentage-point accuracy modifier; it is not a weapon trait and does not promote the underlying track to Firm. Missile terminal attacks remain separate and normally require a valid terminal Firm solution supplied through their legal guidance architecture: a live launcher datalink or missile-local navigation report may supply Firm when legal, while cooperative peer guidance may authorize terminal Firm only when the missile profile explicitly enables that capability. Luck never bypasses a hard gate.</w:t>
      </w:r>
    </w:p>
    <w:p>
      <w:pPr>
        <w:pStyle w:val="ListBullet"/>
      </w:pPr>
      <w:r>
        <w:t>Approximate-track direct fire is a universal combat rule rather than a Tactical Computer or weapon-family characteristic. Any otherwise-eligible direct-fire ship attack may fire from an Approximate track at a provisional -25 percentage-point accuracy modifier. This penalty is intentionally tunable as a combat-system constant and remains materially significant so restoring Firm through sensing, burn-through, or ECCM retains value. Firm-track fire receives no track-quality penalty. The Approximate penalty may stack with other explicit modifiers, including the extended-range penalty below. Missile terminal acquisition and held/specific main-weapon missile interception retain their own Firm-track requirements and do not inherit this ordinary ship-target rule.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direct-fire weapon contains enough local/manual targeting and control to function independently on an otherwise legal Firm or Approximate solution. A ship Tactical Computer/Targeting Computer is an external assisting system that improves eligible direct-fire accuracy and supplies the ship-level d100 bounds when functional; it no longer owns permission for Approximate-track fire or the universal -25 penalty. Losing the computer does not disable the weapon or erase a legal Approximate solution; it removes the computer's ordinary assistance and bounds.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Standard Range, Maximum Range, power, ammunition, charging, guidance, and hazard traits. Their tactical flexibility is deliberately asymmetric and KISS-friendly: Kinetic weapons are low-power ammunition-fed physical penetrators whose range/accuracy and APEN mature with accelerator/projectile technology; Energy weapons are ammunition-independent precision weapons with higher power demand, longer direct-fire reach, universal output modes, and later shield-penetration maturation; Missile weapons trade finite Flights, flight time, guidance, and interception exposure for high guided terminal payloads, with distinct branches such as Swarmer and radiation-oriented warheads. Conventional Kinetics use finite ammunition and normally little Tactical Power; Energy weapons require no ordinary ammunition and use materially more Tactical Power; GP and Swarmer Missiles normally cost no Tactical Power to launch but consume finite Missile Flights. Hybrids combine explicit costs and benefits rather than inheriting a universal rule.</w:t>
      </w:r>
    </w:p>
    <w:p>
      <w:pPr>
        <w:pStyle w:val="ListBullet"/>
      </w:pPr>
      <w:r>
        <w:t>Every normal Energy Main Weapon supports three bounded output levels derived from its listed Standard TP and Standard Damage. Low Output costs half Standard TP rounded up and deals half Standard Damage rounded up. Standard Output uses the listed values. Overload costs 1.5 times Standard TP rounded up, deals 1.5 times Standard Damage rounded up, and always adds 1 weapon Strain. Overload remains subject to the normal Strain Limit and Forced Overload rules when the added Strain would exceed that limit. These relationships are universal Energy-main rules rather than separate per-TL modes; technology changes the listed Standard values and may add specialized branches such as higher-SPEN emitters. Do not permit open-ended conversion of arbitrary power into attack statistics.</w:t>
      </w:r>
    </w:p>
    <w:p>
      <w:pPr>
        <w:pStyle w:val="ListBullet"/>
      </w:pPr>
      <w:r>
        <w:t>Direct-fire weapons use Standard Range and Maximum Range. At or inside Standard Range, no range penalty applies. Beyond Standard Range but at or inside Maximum Range, apply the universal provisional -10 percentage-point extended-range accuracy modifier. Beyond Maximum Range the attack is illegal. The extended-range modifier stacks with the universal -25 Approximate-track modifier, producing -35 when both conditions apply. Physical weapon range never creates attack eligibility by itself: a weapon may be capable of reaching farther than the ship can currently detect or discriminate a legal target. Missiles do not use this direct-fire range penalty; their practical reach comes from propulsion/fuel/endurance and their guidance chain.</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jc w:val="center"/>
            </w:pPr>
            <w:r>
              <w:rPr>
                <w:b/>
                <w:color w:val="FFFFFF"/>
              </w:rPr>
              <w:t>Direct-fire range band</w:t>
            </w:r>
          </w:p>
        </w:tc>
        <w:tc>
          <w:tcPr>
            <w:tcW w:type="dxa" w:w="6336"/>
            <w:vAlign w:val="center"/>
            <w:tcMar>
              <w:top w:w="110" w:type="dxa"/>
              <w:start w:w="120" w:type="dxa"/>
              <w:bottom w:w="110" w:type="dxa"/>
              <w:end w:w="120" w:type="dxa"/>
            </w:tcMar>
            <w:shd w:fill="17304F"/>
          </w:tcPr>
          <w:p>
            <w:pPr>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r>
              <w:t>At or inside Standard Range</w:t>
            </w:r>
          </w:p>
        </w:tc>
        <w:tc>
          <w:tcPr>
            <w:tcW w:type="dxa" w:w="6336"/>
            <w:vAlign w:val="center"/>
            <w:tcMar>
              <w:top w:w="110" w:type="dxa"/>
              <w:start w:w="120" w:type="dxa"/>
              <w:bottom w:w="110" w:type="dxa"/>
              <w:end w:w="120" w:type="dxa"/>
            </w:tcMar>
          </w:tcPr>
          <w:p>
            <w:r>
              <w:t>0 percentage points</w:t>
            </w:r>
          </w:p>
        </w:tc>
      </w:tr>
      <w:tr>
        <w:trPr>
          <w:cantSplit/>
        </w:trPr>
        <w:tc>
          <w:tcPr>
            <w:tcW w:type="dxa" w:w="2880"/>
            <w:vAlign w:val="center"/>
            <w:tcMar>
              <w:top w:w="110" w:type="dxa"/>
              <w:start w:w="120" w:type="dxa"/>
              <w:bottom w:w="110" w:type="dxa"/>
              <w:end w:w="120" w:type="dxa"/>
            </w:tcMar>
          </w:tcPr>
          <w:p>
            <w:r>
              <w:t>Beyond Standard Range through Maximum Range</w:t>
            </w:r>
          </w:p>
        </w:tc>
        <w:tc>
          <w:tcPr>
            <w:tcW w:type="dxa" w:w="6336"/>
            <w:vAlign w:val="center"/>
            <w:tcMar>
              <w:top w:w="110" w:type="dxa"/>
              <w:start w:w="120" w:type="dxa"/>
              <w:bottom w:w="110" w:type="dxa"/>
              <w:end w:w="120" w:type="dxa"/>
            </w:tcMar>
          </w:tcPr>
          <w:p>
            <w:r>
              <w:t>-10 percentage points</w:t>
            </w:r>
          </w:p>
        </w:tc>
      </w:tr>
      <w:tr>
        <w:trPr>
          <w:cantSplit/>
        </w:trPr>
        <w:tc>
          <w:tcPr>
            <w:tcW w:type="dxa" w:w="2880"/>
            <w:vAlign w:val="center"/>
            <w:tcMar>
              <w:top w:w="110" w:type="dxa"/>
              <w:start w:w="120" w:type="dxa"/>
              <w:bottom w:w="110" w:type="dxa"/>
              <w:end w:w="120" w:type="dxa"/>
            </w:tcMar>
          </w:tcPr>
          <w:p>
            <w:r>
              <w:t>Beyond Maximum Range</w:t>
            </w:r>
          </w:p>
        </w:tc>
        <w:tc>
          <w:tcPr>
            <w:tcW w:type="dxa" w:w="6336"/>
            <w:vAlign w:val="center"/>
            <w:tcMar>
              <w:top w:w="110" w:type="dxa"/>
              <w:start w:w="120" w:type="dxa"/>
              <w:bottom w:w="110" w:type="dxa"/>
              <w:end w:w="120" w:type="dxa"/>
            </w:tcMar>
          </w:tcPr>
          <w:p>
            <w:r>
              <w:t>Attack prohibited</w:t>
            </w:r>
          </w:p>
        </w:tc>
      </w:tr>
    </w:tbl>
    <w:p>
      <w:pPr>
        <w:pStyle w:val="ListBullet"/>
      </w:pPr>
      <w:r>
        <w:t>A direct-fire battery remains operable through its internal/local controls when the external Tactical/Targeting Computer is unavailable, provided it otherwise has a legal Firm or Approximate solution. It loses the computer's ordinary targeting assistance and shared bounds, but Approximate-track eligibility and its universal -25 modifier remain combat rules rather than computer-provided capabilities.</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explicitly separates delivery/propulsion, guidance/seeker, and terminal payload. GP Missiles are the concentrated general-purpose line: they normally launch for 0 Tactical Power, consume one of a shallow Flight reserve, and emphasize high terminal Damage rather than mirroring Kinetic APEN or Energy SPEN progression. The distinct Swarmer branch uses multiple bounded internal packets after one terminal attack roll, trading lower packet Damage for improved terminal coverage/PDS saturation; each packet resolves its own penetration and damage independently. Radiation-oriented warheads remain a distinct branch concept intended to emphasize future CREW/internal effects rather than becoming a universal GP-Missile property. Other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retains its ordinary targeting assistance and Evasive Compensation characteristics. Historical degraded-fire penalty fields may remain in preserved data for provenance, but current Approximate-track direct fire is governed by the universal -25 combat modifier rather than a Tactical Computer rating. Evasive Compensation continues to reduce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accuracy/compensation assistance when available. Ordinary ship-target direct fire may use Firm or Approximate tracks under the universal track rule. Held or specific main-weapon missile interception remains Firm-only. PDS may use the same external ordinary assistance but retains its own local fallback if the computer is unavailable. Missile terminal attacks use the missile Guidance Computer and are unaffected by the launcher's later posture or by ordinary direct-fire track/range modifiers.</w:t>
      </w:r>
    </w:p>
    <w:p>
      <w:pPr>
        <w:pStyle w:val="ListBullet"/>
      </w:pPr>
      <w:r>
        <w:t>An Operational STL drive's standard Move equals its installed Drive TL. This is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and no longer own Approximate-fire permission or penalty. When functional they provide their listed ordinary direct-fire assistance and any explicit Evasive Compensation. A direct-fire weapon may use a Firm track normally or an Approximate track at the universal -25 modifier without promoting that track to Firm. Weapons remain locally/manual operable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This is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While Shield Capacity (SC) is above zero, Shield Armor (SA) is penetration hardening rather than generic damage reduction. Effective SPEN = max(0, SPEN - SA), and Shield bypass = min(DAM, Effective SPEN). The remainder of the packet attacks renewable SC; capacity overflow joins the bypassed damage and continues to the next defensive layer. SA never deletes ordinary DAM and is not consumed by resolving damage. If SC is zero, the Shield layer has collapsed, SA is inactive, and all packet damage proceeds to Armor until SC is restored. Standard shields need not provide SA; specialized shields or a Powered Shield Hardener may provide it. Under the canonical x2 point-domain ruler, the accepted TL3 Shield Hardener occupies 1 Installation Space and, while functional and powered, provides Shield Armor 2. Its normal hardening does not stack with another identical hardener, and no overload benefit is promoted.</w:t>
      </w:r>
    </w:p>
    <w:p>
      <w:pPr>
        <w:pStyle w:val="ListBullet"/>
      </w:pPr>
      <w:r>
        <w:t>For each Armor layer reached by an attack while that layer's Armor Integrity (AI) is above zero, Armor Protection (AP) is penetration hardening rather than generic damage reduction. Effective APEN = max(0, APEN - AP), and Armor bypass = min(damage reaching that layer, Effective APEN). The remainder attacks AI; Integrity overflow joins bypassed damage and continues to the next Armor layer or Hull. AP is not consumed, stripped, or used as a second durability pool by ordinary damage resolution.</w:t>
      </w:r>
    </w:p>
    <w:p>
      <w:pPr>
        <w:pStyle w:val="ListBullet"/>
      </w:pPr>
      <w:r>
        <w:t>APEN retains its original packet value across Armor layers and never creates damage. Each active layer applies its own AP hardening independently, and penetration through an outer layer proceeds into the next layer rather than skipping damage conservation. When an Armor layer has AI 0, that layer is defeated, its AP is inactive, and damage passes onward unchanged. If later repair restores AI above zero, the installed AP becomes effective again if the Armor source remains otherwise valid.</w:t>
      </w:r>
    </w:p>
    <w:p>
      <w:pPr>
        <w:pStyle w:val="ListBullet"/>
      </w:pPr>
      <w:r>
        <w:t>Primary passive Armor therefore uses AI as its ordinary durability track and AP as an always-stored penetration-hardening characteristic. It has no separate Operational/Degraded/Disabled/Destroyed condition track. Reducing AI to zero exposes the next layer/Hull immediately; it does not create a destructible AP health pool. Low-technology primary Armor normally cannot regenerate in combat, while later self-repairing or regenerative Armor may restore AI through the ordinary Damage Control/recovery architecture without changing AP into Shield-like recharge.</w:t>
      </w:r>
    </w:p>
    <w:p>
      <w:pPr>
        <w:pStyle w:val="ListBullet"/>
      </w:pPr>
      <w:r>
        <w:t>A ship may install at most one Auxiliary ablative outer layer with its own AP and AI. It uses the same penetration-hardening rule as primary Armor while its AI remains above zero.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In the current TL1-TL9 candidate Shield line, a fully collapsed contemporary Shield cannot normally return to full SC in that single legal recharge window even with maximum Tactical Recharge. Base and Tactical Recharge restore a substantial technology-dependent portion of SC, leaving a sustained-fire exploitation window until later recharge opportunities.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Main Weapons use the universal Low/Standard/Overload relationships defined above, with every Overload adding 1 weapon Strain before any Forced Overload determination.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Universal Approximate-track direct fire is a downstream firing option layered on the resulting track quality; it does not change Sensor/EW values, retroactively alter the observation result, promote Approximate to Firm,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current candidate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Prepared Repair Kits progress 3/3/4/4/5/5/6/6/7 from TL1 through TL9. Optional drones, fabricators, and programmable patches remain separate support choices. These values remain candidate characteristics for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Ordinary Damage Control does not directly restore Shield Points, generic armor, lost stores, or destroyed components. An Armor profile that explicitly possesses tactical self-healing/regeneration is a separate built-in material capability resolved in the Damage Control phase: the current candidate rule restores 1 AI per Tactical Power spent and never above pristine AI. Mainline TL6-TL8 Armor may spend at most 1 TP per turn on regeneration; mainline TL9 Armor may spend at most 2 TP per turn. The TL6 A_b1 Crystalline Composite Armor candidate is AP2/AI11 and has no tactical regeneration, trading steady self-healing for stronger passive protection and integrity.</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v0.7w</dc:title>
  <dc:subject>CP134 canonical direct-fire range/track rules, universal Energy-main output modes, and tactical Armor regeneration</dc:subject>
  <dc:creator>OpenAI and project owner</dc:creator>
  <cp:keywords>Godot, C#, .NET 8, roguelike, starship, strategy, game design, missiles, terminal guidance, point defense</cp:keywords>
  <dc:description>CP134 synchronizes the Concept with canonical combat kernel v0.2 and the accepted CP133 candidate subsystem baseline; numerical balance remains under same-TL diagnostic study.</dc:description>
  <cp:lastModifiedBy/>
  <cp:revision>1</cp:revision>
  <dcterms:created xsi:type="dcterms:W3CDTF">2013-12-23T23:15:00Z</dcterms:created>
  <dcterms:modified xsi:type="dcterms:W3CDTF">2026-08-16T00:00:00Z</dcterms:modified>
  <cp:category/>
  <cp:version>0.7t</cp:version>
</cp:coreProperties>
</file>