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Triple-Shield™ Framework and Risk Assessment | The 3 Pillars of Asset Protection: Legal, Financial, Operational | How Trusts Anchor the System | The Asset Protection Timeline for Professionals | Using the Risk Matrix™ to Quantify Exposure | Profession-Specific Risk Profiles and Hidden Liabilities | Creating Your Personalized Protection Priority Plan</w:t>
      </w:r>
    </w:p>
    <w:p>
      <w:r>
        <w:t>Richiesta abortita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