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Funding Your Trust with Precision: Why Funding Determines a Trust’s Real Protection | Asset-Specific Transfer Protocols | Practice Asset Transfer and Entity Coordination | Avoiding the Funding Gap | Building a Transfer Checklist and Audit Process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